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24"/>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1019175</wp:posOffset>
            </wp:positionH>
            <wp:positionV relativeFrom="paragraph">
              <wp:posOffset>-99060</wp:posOffset>
            </wp:positionV>
            <wp:extent cx="681990" cy="681990"/>
            <wp:effectExtent l="0" t="0" r="3810" b="3810"/>
            <wp:wrapNone/>
            <wp:docPr id="1" name="Picture 6" descr="xx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xxbs3"/>
                    <pic:cNvPicPr>
                      <a:picLocks noChangeAspect="1"/>
                    </pic:cNvPicPr>
                  </pic:nvPicPr>
                  <pic:blipFill>
                    <a:blip r:embed="rId4"/>
                    <a:stretch>
                      <a:fillRect/>
                    </a:stretch>
                  </pic:blipFill>
                  <pic:spPr>
                    <a:xfrm>
                      <a:off x="0" y="0"/>
                      <a:ext cx="681990" cy="681990"/>
                    </a:xfrm>
                    <a:prstGeom prst="rect">
                      <a:avLst/>
                    </a:prstGeom>
                    <a:noFill/>
                    <a:ln>
                      <a:noFill/>
                    </a:ln>
                  </pic:spPr>
                </pic:pic>
              </a:graphicData>
            </a:graphic>
          </wp:anchor>
        </w:drawing>
      </w:r>
      <w:r>
        <w:rPr>
          <w:rFonts w:hint="eastAsia" w:ascii="宋体" w:hAnsi="宋体" w:cs="宋体"/>
          <w:sz w:val="24"/>
        </w:rPr>
        <w:drawing>
          <wp:anchor distT="0" distB="0" distL="114300" distR="114300" simplePos="0" relativeHeight="251660288" behindDoc="0" locked="0" layoutInCell="1" allowOverlap="1">
            <wp:simplePos x="0" y="0"/>
            <wp:positionH relativeFrom="column">
              <wp:posOffset>1943100</wp:posOffset>
            </wp:positionH>
            <wp:positionV relativeFrom="paragraph">
              <wp:posOffset>-198120</wp:posOffset>
            </wp:positionV>
            <wp:extent cx="2665730" cy="759460"/>
            <wp:effectExtent l="0" t="0" r="1270" b="2540"/>
            <wp:wrapNone/>
            <wp:docPr id="2"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logo"/>
                    <pic:cNvPicPr>
                      <a:picLocks noChangeAspect="1"/>
                    </pic:cNvPicPr>
                  </pic:nvPicPr>
                  <pic:blipFill>
                    <a:blip r:embed="rId5"/>
                    <a:stretch>
                      <a:fillRect/>
                    </a:stretch>
                  </pic:blipFill>
                  <pic:spPr>
                    <a:xfrm>
                      <a:off x="0" y="0"/>
                      <a:ext cx="2665730" cy="759460"/>
                    </a:xfrm>
                    <a:prstGeom prst="rect">
                      <a:avLst/>
                    </a:prstGeom>
                    <a:noFill/>
                    <a:ln>
                      <a:noFill/>
                    </a:ln>
                  </pic:spPr>
                </pic:pic>
              </a:graphicData>
            </a:graphic>
          </wp:anchor>
        </w:drawing>
      </w:r>
      <w:r>
        <w:rPr>
          <w:rFonts w:hint="eastAsia" w:ascii="宋体" w:hAnsi="宋体" w:cs="宋体"/>
          <w:sz w:val="24"/>
        </w:rPr>
        <w:t xml:space="preserve">     </w:t>
      </w:r>
    </w:p>
    <w:p>
      <w:pPr>
        <w:spacing w:line="360" w:lineRule="auto"/>
        <w:jc w:val="center"/>
        <w:rPr>
          <w:rFonts w:ascii="宋体" w:hAnsi="宋体" w:cs="宋体"/>
          <w:b/>
          <w:bCs/>
          <w:sz w:val="24"/>
        </w:rPr>
      </w:pPr>
      <w:r>
        <w:rPr>
          <w:rFonts w:hint="eastAsia" w:ascii="宋体" w:hAnsi="宋体" w:cs="宋体"/>
          <w:b/>
          <w:bCs/>
          <w:sz w:val="24"/>
        </w:rPr>
        <w:t>学校简介</w:t>
      </w:r>
    </w:p>
    <w:p>
      <w:pPr>
        <w:spacing w:line="360" w:lineRule="auto"/>
        <w:jc w:val="center"/>
        <w:rPr>
          <w:rFonts w:ascii="宋体" w:hAnsi="宋体" w:cs="宋体"/>
          <w:sz w:val="24"/>
        </w:rPr>
      </w:pPr>
    </w:p>
    <w:p>
      <w:pPr>
        <w:spacing w:line="360" w:lineRule="auto"/>
        <w:ind w:left="420" w:leftChars="200" w:firstLine="0" w:firstLineChars="0"/>
        <w:jc w:val="center"/>
        <w:rPr>
          <w:rFonts w:ascii="宋体" w:hAnsi="宋体" w:cs="宋体"/>
          <w:b/>
          <w:bCs/>
          <w:sz w:val="32"/>
          <w:szCs w:val="32"/>
        </w:rPr>
      </w:pPr>
      <w:r>
        <w:rPr>
          <w:rFonts w:hint="eastAsia" w:ascii="宋体" w:hAnsi="宋体" w:cs="宋体"/>
          <w:b/>
          <w:bCs/>
          <w:sz w:val="32"/>
          <w:szCs w:val="32"/>
        </w:rPr>
        <w:t>北京化工大学2024年留学生本科生招生简章</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北京化工大学创办于1958年，是新中国为“培养尖端科学发展所需的高级化工技术人才”而创建的一所高水平大学。作为教育部直属的全国重点大学、国家“211工程”和“‘985’优势学科创新平台”重点建设院校，国家“双一流”大学，北京化工大学肩负着高层次创新人才培养和基础性、前瞻性科学研究以及原创性高新技术开发的使命。</w:t>
      </w:r>
    </w:p>
    <w:p>
      <w:pPr>
        <w:spacing w:line="360" w:lineRule="auto"/>
        <w:ind w:firstLine="480" w:firstLineChars="200"/>
        <w:rPr>
          <w:rFonts w:ascii="宋体" w:hAnsi="宋体" w:cs="宋体"/>
          <w:sz w:val="24"/>
        </w:rPr>
      </w:pPr>
      <w:r>
        <w:rPr>
          <w:rFonts w:hint="eastAsia" w:ascii="宋体" w:hAnsi="宋体" w:cs="宋体"/>
          <w:sz w:val="24"/>
        </w:rPr>
        <w:t>北京化工大学经过60余年的建设，已经发展成为理科基础坚实，工科实力雄厚，管理学、经济学、法学、文学、教育学、哲学、医学等学科富有特色的多科性重点大学，形成了从本科生教育到硕士研究生、博士研究生、博士后流动站以及留学生教育等多层次人才培养格局。在ESI排名中，化学、材料科学进入前1‰，材料科学、工程、生物、生物化学学科进入前1%。化学工程与技术一级学科排名全国第三。2017年，北京交通大学“绿色化学、化工与材料”学科群被列入“双一流工程”一流学科。</w:t>
      </w:r>
    </w:p>
    <w:p>
      <w:pPr>
        <w:spacing w:line="360" w:lineRule="auto"/>
        <w:ind w:firstLine="480" w:firstLineChars="200"/>
        <w:rPr>
          <w:rFonts w:ascii="宋体" w:hAnsi="宋体" w:cs="宋体"/>
          <w:sz w:val="24"/>
        </w:rPr>
      </w:pPr>
      <w:r>
        <w:rPr>
          <w:rFonts w:hint="eastAsia" w:ascii="宋体" w:hAnsi="宋体" w:cs="宋体"/>
          <w:sz w:val="24"/>
        </w:rPr>
        <w:t>放眼全球，北京化工大学先后与亚洲、欧洲、美洲、非洲、大洋洲的165所高校建立了学术合作关系。目前有超过86个海外学习项目，还为国际学生提供广泛的教育项目，包括学士、硕士和博士课程，以及中国语言文化项目、交流项目和夏令营等。</w:t>
      </w:r>
    </w:p>
    <w:p>
      <w:pPr>
        <w:spacing w:line="360" w:lineRule="auto"/>
        <w:ind w:firstLine="480"/>
        <w:rPr>
          <w:rFonts w:ascii="宋体" w:hAnsi="宋体" w:cs="宋体"/>
          <w:sz w:val="24"/>
        </w:rPr>
      </w:pPr>
      <w:r>
        <w:rPr>
          <w:rFonts w:hint="eastAsia" w:ascii="宋体" w:hAnsi="宋体" w:cs="宋体"/>
          <w:sz w:val="24"/>
        </w:rPr>
        <w:t>在充满机遇与挑战的21世纪，北京化工大学将继续秉承“志存高远、德才兼济、博学多才、探索自然奥秘、努力为人类更好服务”的校训，努力把北京化工大学建设成为具有鲜明特色和国际影响力的世界一流的科研机构。</w:t>
      </w:r>
    </w:p>
    <w:p>
      <w:pPr>
        <w:spacing w:line="360" w:lineRule="auto"/>
        <w:ind w:firstLine="480"/>
        <w:rPr>
          <w:rFonts w:ascii="宋体" w:hAnsi="宋体" w:cs="宋体"/>
          <w:sz w:val="24"/>
        </w:rPr>
      </w:pPr>
    </w:p>
    <w:p>
      <w:pPr>
        <w:numPr>
          <w:ilvl w:val="0"/>
          <w:numId w:val="1"/>
        </w:numPr>
        <w:spacing w:line="360" w:lineRule="auto"/>
        <w:rPr>
          <w:rFonts w:ascii="宋体" w:hAnsi="宋体" w:cs="宋体"/>
          <w:b/>
          <w:bCs/>
          <w:sz w:val="24"/>
        </w:rPr>
      </w:pPr>
      <w:r>
        <w:rPr>
          <w:rFonts w:hint="eastAsia" w:ascii="宋体" w:hAnsi="宋体" w:cs="宋体"/>
          <w:b/>
          <w:bCs/>
          <w:sz w:val="24"/>
        </w:rPr>
        <w:t>历史</w:t>
      </w:r>
    </w:p>
    <w:p>
      <w:pPr>
        <w:spacing w:line="360" w:lineRule="auto"/>
        <w:rPr>
          <w:rFonts w:ascii="宋体" w:hAnsi="宋体" w:cs="宋体"/>
          <w:sz w:val="24"/>
        </w:rPr>
      </w:pPr>
      <w:r>
        <w:rPr>
          <w:rFonts w:hint="eastAsia" w:ascii="宋体" w:hAnsi="宋体" w:cs="宋体"/>
          <w:sz w:val="24"/>
        </w:rPr>
        <w:t>1958年-北京化工学院成立，隶属于化学工业部。</w:t>
      </w:r>
    </w:p>
    <w:p>
      <w:pPr>
        <w:spacing w:line="360" w:lineRule="auto"/>
        <w:rPr>
          <w:rFonts w:ascii="宋体" w:hAnsi="宋体" w:cs="宋体"/>
          <w:sz w:val="24"/>
        </w:rPr>
      </w:pPr>
      <w:r>
        <w:rPr>
          <w:rFonts w:hint="eastAsia" w:ascii="宋体" w:hAnsi="宋体" w:cs="宋体"/>
          <w:sz w:val="24"/>
        </w:rPr>
        <w:t>1994年-更名为北京化工大学。</w:t>
      </w:r>
    </w:p>
    <w:p>
      <w:pPr>
        <w:spacing w:line="360" w:lineRule="auto"/>
        <w:rPr>
          <w:rFonts w:ascii="宋体" w:hAnsi="宋体" w:cs="宋体"/>
          <w:sz w:val="24"/>
        </w:rPr>
      </w:pPr>
      <w:r>
        <w:rPr>
          <w:rFonts w:hint="eastAsia" w:ascii="宋体" w:hAnsi="宋体" w:cs="宋体"/>
          <w:sz w:val="24"/>
        </w:rPr>
        <w:t>1996年-成为首批211工程大学之一(TOP 211)</w:t>
      </w:r>
    </w:p>
    <w:p>
      <w:pPr>
        <w:spacing w:line="360" w:lineRule="auto"/>
        <w:rPr>
          <w:rFonts w:ascii="宋体" w:hAnsi="宋体" w:cs="宋体"/>
          <w:sz w:val="24"/>
        </w:rPr>
      </w:pPr>
      <w:r>
        <w:rPr>
          <w:rFonts w:hint="eastAsia" w:ascii="宋体" w:hAnsi="宋体" w:cs="宋体"/>
          <w:sz w:val="24"/>
        </w:rPr>
        <w:t>1998年-隶属于教育部</w:t>
      </w:r>
    </w:p>
    <w:p>
      <w:pPr>
        <w:spacing w:line="360" w:lineRule="auto"/>
        <w:rPr>
          <w:rFonts w:ascii="宋体" w:hAnsi="宋体" w:cs="宋体"/>
          <w:sz w:val="24"/>
        </w:rPr>
      </w:pPr>
      <w:r>
        <w:rPr>
          <w:rFonts w:hint="eastAsia" w:ascii="宋体" w:hAnsi="宋体" w:cs="宋体"/>
          <w:sz w:val="24"/>
        </w:rPr>
        <w:t>2008年-成为“985项目创新重点平台”之一。</w:t>
      </w:r>
    </w:p>
    <w:p>
      <w:pPr>
        <w:spacing w:line="360" w:lineRule="auto"/>
        <w:rPr>
          <w:rFonts w:ascii="宋体" w:hAnsi="宋体" w:cs="宋体"/>
          <w:sz w:val="24"/>
        </w:rPr>
      </w:pPr>
      <w:r>
        <w:rPr>
          <w:rFonts w:hint="eastAsia" w:ascii="宋体" w:hAnsi="宋体" w:cs="宋体"/>
          <w:sz w:val="24"/>
        </w:rPr>
        <w:t>2017年-“绿色化学、化工与材料”被列为双一流工程一流学科。</w:t>
      </w:r>
    </w:p>
    <w:p>
      <w:pPr>
        <w:spacing w:line="360" w:lineRule="auto"/>
        <w:rPr>
          <w:rFonts w:ascii="宋体" w:hAnsi="宋体" w:cs="宋体"/>
          <w:sz w:val="24"/>
        </w:rPr>
      </w:pPr>
    </w:p>
    <w:p>
      <w:pPr>
        <w:numPr>
          <w:ilvl w:val="0"/>
          <w:numId w:val="1"/>
        </w:numPr>
        <w:spacing w:line="360" w:lineRule="auto"/>
        <w:rPr>
          <w:rFonts w:ascii="宋体" w:hAnsi="宋体" w:cs="宋体"/>
          <w:b/>
          <w:bCs/>
          <w:sz w:val="24"/>
        </w:rPr>
      </w:pPr>
      <w:r>
        <w:rPr>
          <w:rFonts w:hint="eastAsia" w:ascii="宋体" w:hAnsi="宋体" w:cs="宋体"/>
          <w:b/>
          <w:bCs/>
          <w:sz w:val="24"/>
        </w:rPr>
        <w:t>北京化工大学重点信息</w:t>
      </w:r>
    </w:p>
    <w:p>
      <w:pPr>
        <w:spacing w:line="360" w:lineRule="auto"/>
        <w:rPr>
          <w:rFonts w:ascii="宋体" w:hAnsi="宋体" w:cs="宋体"/>
          <w:sz w:val="24"/>
        </w:rPr>
      </w:pPr>
      <w:r>
        <w:rPr>
          <w:rFonts w:hint="eastAsia" w:ascii="宋体" w:hAnsi="宋体" w:cs="宋体"/>
          <w:sz w:val="24"/>
        </w:rPr>
        <w:t>211工程高校之一</w:t>
      </w:r>
    </w:p>
    <w:p>
      <w:pPr>
        <w:spacing w:line="360" w:lineRule="auto"/>
        <w:rPr>
          <w:rFonts w:ascii="宋体" w:hAnsi="宋体" w:cs="宋体"/>
          <w:sz w:val="24"/>
        </w:rPr>
      </w:pPr>
      <w:r>
        <w:rPr>
          <w:rFonts w:hint="eastAsia" w:ascii="宋体" w:hAnsi="宋体" w:cs="宋体"/>
          <w:sz w:val="24"/>
        </w:rPr>
        <w:t>985项目创新平台之一</w:t>
      </w:r>
    </w:p>
    <w:p>
      <w:pPr>
        <w:spacing w:line="360" w:lineRule="auto"/>
        <w:rPr>
          <w:rFonts w:ascii="宋体" w:hAnsi="宋体" w:cs="宋体"/>
          <w:sz w:val="24"/>
        </w:rPr>
      </w:pPr>
      <w:r>
        <w:rPr>
          <w:rFonts w:hint="eastAsia" w:ascii="宋体" w:hAnsi="宋体" w:cs="宋体"/>
          <w:sz w:val="24"/>
        </w:rPr>
        <w:t>多学科——是一所以理工科为核心学科，文理、法学、管理学、经济学等学科为辅的多学科综合性大学。</w:t>
      </w:r>
    </w:p>
    <w:p>
      <w:pPr>
        <w:spacing w:line="360" w:lineRule="auto"/>
        <w:rPr>
          <w:rFonts w:ascii="宋体" w:hAnsi="宋体" w:cs="宋体"/>
          <w:sz w:val="24"/>
        </w:rPr>
      </w:pPr>
      <w:r>
        <w:rPr>
          <w:rFonts w:hint="eastAsia" w:ascii="宋体" w:hAnsi="宋体" w:cs="宋体"/>
          <w:sz w:val="24"/>
        </w:rPr>
        <w:t>“绿色化学、化工与材料”双一流项目一流学科</w:t>
      </w:r>
    </w:p>
    <w:p>
      <w:pPr>
        <w:spacing w:line="360" w:lineRule="auto"/>
        <w:rPr>
          <w:rFonts w:ascii="宋体" w:hAnsi="宋体" w:cs="宋体"/>
          <w:sz w:val="24"/>
        </w:rPr>
      </w:pPr>
      <w:r>
        <w:rPr>
          <w:rFonts w:hint="eastAsia" w:ascii="宋体" w:hAnsi="宋体" w:cs="宋体"/>
          <w:sz w:val="24"/>
        </w:rPr>
        <w:t>17个学院/学校</w:t>
      </w:r>
    </w:p>
    <w:p>
      <w:pPr>
        <w:spacing w:line="360" w:lineRule="auto"/>
        <w:rPr>
          <w:rFonts w:ascii="宋体" w:hAnsi="宋体" w:cs="宋体"/>
          <w:sz w:val="24"/>
        </w:rPr>
      </w:pPr>
      <w:r>
        <w:rPr>
          <w:rFonts w:hint="eastAsia" w:ascii="宋体" w:hAnsi="宋体" w:cs="宋体"/>
          <w:sz w:val="24"/>
        </w:rPr>
        <w:t>2600多名教职员工</w:t>
      </w:r>
    </w:p>
    <w:p>
      <w:pPr>
        <w:spacing w:line="360" w:lineRule="auto"/>
        <w:rPr>
          <w:rFonts w:ascii="宋体" w:hAnsi="宋体" w:cs="宋体"/>
          <w:sz w:val="24"/>
        </w:rPr>
      </w:pPr>
      <w:r>
        <w:rPr>
          <w:rFonts w:hint="eastAsia" w:ascii="宋体" w:hAnsi="宋体" w:cs="宋体"/>
          <w:sz w:val="24"/>
        </w:rPr>
        <w:t>15000+ 本科生</w:t>
      </w:r>
    </w:p>
    <w:p>
      <w:pPr>
        <w:spacing w:line="360" w:lineRule="auto"/>
        <w:rPr>
          <w:rFonts w:ascii="宋体" w:hAnsi="宋体" w:cs="宋体"/>
          <w:sz w:val="24"/>
        </w:rPr>
      </w:pPr>
      <w:r>
        <w:rPr>
          <w:rFonts w:hint="eastAsia" w:ascii="宋体" w:hAnsi="宋体" w:cs="宋体"/>
          <w:sz w:val="24"/>
        </w:rPr>
        <w:t>7500+ 研究生</w:t>
      </w:r>
    </w:p>
    <w:p>
      <w:pPr>
        <w:spacing w:line="360" w:lineRule="auto"/>
        <w:rPr>
          <w:rFonts w:ascii="宋体" w:hAnsi="宋体" w:cs="宋体"/>
          <w:sz w:val="24"/>
        </w:rPr>
      </w:pPr>
      <w:r>
        <w:rPr>
          <w:rFonts w:hint="eastAsia" w:ascii="宋体" w:hAnsi="宋体" w:cs="宋体"/>
          <w:sz w:val="24"/>
        </w:rPr>
        <w:t>600+ 国际学生</w:t>
      </w:r>
    </w:p>
    <w:p>
      <w:pPr>
        <w:spacing w:line="360" w:lineRule="auto"/>
        <w:rPr>
          <w:rFonts w:ascii="宋体" w:hAnsi="宋体" w:cs="宋体"/>
          <w:sz w:val="24"/>
        </w:rPr>
      </w:pPr>
      <w:r>
        <w:rPr>
          <w:rFonts w:hint="eastAsia" w:ascii="宋体" w:hAnsi="宋体" w:cs="宋体"/>
          <w:sz w:val="24"/>
        </w:rPr>
        <w:t>500+ /年留学生</w:t>
      </w:r>
    </w:p>
    <w:p>
      <w:pPr>
        <w:spacing w:line="360" w:lineRule="auto"/>
        <w:rPr>
          <w:rFonts w:ascii="宋体" w:hAnsi="宋体" w:cs="宋体"/>
          <w:sz w:val="24"/>
        </w:rPr>
      </w:pPr>
      <w:r>
        <w:rPr>
          <w:rFonts w:hint="eastAsia" w:ascii="宋体" w:hAnsi="宋体" w:cs="宋体"/>
          <w:sz w:val="24"/>
        </w:rPr>
        <w:t>2个国家重点实验室</w:t>
      </w:r>
    </w:p>
    <w:p>
      <w:pPr>
        <w:spacing w:line="360" w:lineRule="auto"/>
        <w:rPr>
          <w:rFonts w:ascii="宋体" w:hAnsi="宋体" w:cs="宋体"/>
          <w:sz w:val="24"/>
        </w:rPr>
      </w:pPr>
      <w:r>
        <w:rPr>
          <w:rFonts w:hint="eastAsia" w:ascii="宋体" w:hAnsi="宋体" w:cs="宋体"/>
          <w:sz w:val="24"/>
        </w:rPr>
        <w:t>30多个省级联合实验室/中心</w:t>
      </w:r>
    </w:p>
    <w:p>
      <w:pPr>
        <w:spacing w:line="360" w:lineRule="auto"/>
        <w:rPr>
          <w:rFonts w:ascii="宋体" w:hAnsi="宋体" w:cs="宋体"/>
          <w:sz w:val="24"/>
        </w:rPr>
      </w:pPr>
      <w:r>
        <w:rPr>
          <w:rFonts w:hint="eastAsia" w:ascii="宋体" w:hAnsi="宋体" w:cs="宋体"/>
          <w:sz w:val="24"/>
        </w:rPr>
        <w:t>5+ 国际联合实验室/研究中心</w:t>
      </w:r>
    </w:p>
    <w:p>
      <w:pPr>
        <w:spacing w:line="360" w:lineRule="auto"/>
        <w:rPr>
          <w:rFonts w:ascii="宋体" w:hAnsi="宋体" w:cs="宋体"/>
          <w:sz w:val="24"/>
        </w:rPr>
      </w:pPr>
      <w:r>
        <w:rPr>
          <w:rFonts w:hint="eastAsia" w:ascii="宋体" w:hAnsi="宋体" w:cs="宋体"/>
          <w:sz w:val="24"/>
        </w:rPr>
        <w:t>160多个海外合作伙伴</w:t>
      </w: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600"/>
        <w:rPr>
          <w:rFonts w:ascii="宋体" w:hAnsi="宋体" w:cs="宋体"/>
          <w:sz w:val="24"/>
        </w:rPr>
      </w:pPr>
    </w:p>
    <w:p>
      <w:pPr>
        <w:spacing w:line="360" w:lineRule="auto"/>
        <w:ind w:firstLine="480"/>
        <w:rPr>
          <w:rFonts w:ascii="宋体" w:hAnsi="宋体" w:cs="宋体"/>
          <w:sz w:val="24"/>
        </w:rPr>
      </w:pPr>
    </w:p>
    <w:p>
      <w:pPr>
        <w:numPr>
          <w:ilvl w:val="0"/>
          <w:numId w:val="2"/>
        </w:numPr>
        <w:spacing w:line="360" w:lineRule="auto"/>
        <w:rPr>
          <w:rFonts w:ascii="宋体" w:hAnsi="宋体" w:cs="宋体"/>
          <w:bCs/>
          <w:sz w:val="24"/>
        </w:rPr>
      </w:pPr>
      <w:r>
        <w:rPr>
          <w:rFonts w:hint="eastAsia" w:ascii="宋体" w:hAnsi="宋体" w:cs="宋体"/>
          <w:b/>
          <w:sz w:val="24"/>
        </w:rPr>
        <w:t>本科专业介绍</w:t>
      </w:r>
    </w:p>
    <w:tbl>
      <w:tblPr>
        <w:tblStyle w:val="8"/>
        <w:tblpPr w:leftFromText="180" w:rightFromText="180" w:vertAnchor="text" w:horzAnchor="page" w:tblpX="930" w:tblpY="220"/>
        <w:tblOverlap w:val="never"/>
        <w:tblW w:w="10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632"/>
        <w:gridCol w:w="2706"/>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77" w:type="dxa"/>
            <w:gridSpan w:val="4"/>
            <w:shd w:val="clear" w:color="auto" w:fill="DCD8C2"/>
            <w:noWrap/>
            <w:vAlign w:val="center"/>
          </w:tcPr>
          <w:p>
            <w:pPr>
              <w:widowControl/>
              <w:jc w:val="left"/>
              <w:textAlignment w:val="bottom"/>
              <w:rPr>
                <w:rFonts w:ascii="宋体" w:hAnsi="宋体" w:cs="宋体"/>
                <w:b/>
                <w:szCs w:val="21"/>
              </w:rPr>
            </w:pPr>
            <w:r>
              <w:rPr>
                <w:rFonts w:hint="eastAsia" w:ascii="宋体" w:hAnsi="宋体" w:cs="宋体"/>
                <w:bCs/>
                <w:color w:val="0C0C0C"/>
                <w:szCs w:val="21"/>
              </w:rPr>
              <w:t>学士学位(4年) (全部用中文授课;HSK 5级以上)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restart"/>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化学工程学院</w:t>
            </w:r>
          </w:p>
        </w:tc>
        <w:tc>
          <w:tcPr>
            <w:tcW w:w="2632" w:type="dxa"/>
            <w:noWrap/>
            <w:vAlign w:val="center"/>
          </w:tcPr>
          <w:p>
            <w:pPr>
              <w:jc w:val="left"/>
              <w:rPr>
                <w:rFonts w:ascii="宋体" w:hAnsi="宋体" w:cs="宋体"/>
                <w:color w:val="000000"/>
                <w:szCs w:val="21"/>
              </w:rPr>
            </w:pPr>
            <w:r>
              <w:rPr>
                <w:rFonts w:hint="eastAsia" w:ascii="宋体" w:hAnsi="宋体" w:cs="宋体"/>
                <w:color w:val="000000"/>
                <w:szCs w:val="21"/>
              </w:rPr>
              <w:t>1.化学工程与工艺</w:t>
            </w:r>
          </w:p>
        </w:tc>
        <w:tc>
          <w:tcPr>
            <w:tcW w:w="2706" w:type="dxa"/>
            <w:vMerge w:val="restart"/>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信息科学与技术学院</w:t>
            </w:r>
          </w:p>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hint="eastAsia" w:ascii="宋体" w:hAnsi="宋体" w:cs="宋体"/>
                <w:color w:val="000000"/>
                <w:kern w:val="0"/>
                <w:szCs w:val="21"/>
                <w:lang w:bidi="ar"/>
              </w:rPr>
              <w:t>2</w:t>
            </w:r>
            <w:r>
              <w:rPr>
                <w:rFonts w:ascii="宋体" w:hAnsi="宋体" w:cs="宋体"/>
                <w:color w:val="000000"/>
                <w:kern w:val="0"/>
                <w:szCs w:val="21"/>
                <w:lang w:bidi="ar"/>
              </w:rPr>
              <w:t>6</w:t>
            </w:r>
            <w:r>
              <w:rPr>
                <w:rFonts w:hint="eastAsia" w:ascii="宋体" w:hAnsi="宋体" w:cs="宋体"/>
                <w:color w:val="000000"/>
                <w:kern w:val="0"/>
                <w:szCs w:val="21"/>
                <w:lang w:bidi="ar"/>
              </w:rPr>
              <w:t>.</w:t>
            </w:r>
            <w:r>
              <w:rPr>
                <w:rFonts w:hint="eastAsia" w:ascii="宋体" w:hAnsi="宋体" w:cs="宋体"/>
                <w:color w:val="000000"/>
                <w:szCs w:val="21"/>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color w:val="0C0C0C"/>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.环境工程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27</w:t>
            </w:r>
            <w:r>
              <w:rPr>
                <w:rFonts w:hint="eastAsia" w:ascii="宋体" w:hAnsi="宋体" w:cs="宋体"/>
                <w:color w:val="000000"/>
                <w:kern w:val="0"/>
                <w:szCs w:val="21"/>
                <w:lang w:bidi="ar"/>
              </w:rPr>
              <w:t>.</w:t>
            </w:r>
            <w:r>
              <w:rPr>
                <w:rFonts w:hint="eastAsia" w:ascii="宋体" w:hAnsi="宋体" w:cs="宋体"/>
                <w:color w:val="000000"/>
                <w:szCs w:val="21"/>
              </w:rPr>
              <w:t>电子信息工程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color w:val="0C0C0C"/>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.能源化学工程</w:t>
            </w:r>
          </w:p>
          <w:p>
            <w:pPr>
              <w:jc w:val="left"/>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.氢能科学与工程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28</w:t>
            </w:r>
            <w:r>
              <w:rPr>
                <w:rFonts w:hint="eastAsia" w:ascii="宋体" w:hAnsi="宋体" w:cs="宋体"/>
                <w:color w:val="000000"/>
                <w:kern w:val="0"/>
                <w:szCs w:val="21"/>
                <w:lang w:bidi="ar"/>
              </w:rPr>
              <w:t>.</w:t>
            </w:r>
            <w:r>
              <w:rPr>
                <w:rFonts w:hint="eastAsia" w:ascii="宋体" w:hAnsi="宋体" w:cs="宋体"/>
                <w:color w:val="000000"/>
                <w:szCs w:val="21"/>
              </w:rPr>
              <w:t>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restart"/>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材料科学与工程学院</w:t>
            </w: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5</w:t>
            </w:r>
            <w:r>
              <w:rPr>
                <w:rFonts w:hint="eastAsia" w:ascii="宋体" w:hAnsi="宋体" w:cs="宋体"/>
                <w:color w:val="000000"/>
                <w:kern w:val="0"/>
                <w:szCs w:val="21"/>
                <w:lang w:bidi="ar"/>
              </w:rPr>
              <w:t>.</w:t>
            </w:r>
            <w:r>
              <w:rPr>
                <w:rFonts w:hint="eastAsia" w:ascii="宋体" w:hAnsi="宋体" w:cs="宋体"/>
                <w:color w:val="000000"/>
                <w:szCs w:val="21"/>
              </w:rPr>
              <w:t>高分子材料和工程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29</w:t>
            </w:r>
            <w:r>
              <w:rPr>
                <w:rFonts w:hint="eastAsia" w:ascii="宋体" w:hAnsi="宋体" w:cs="宋体"/>
                <w:color w:val="000000"/>
                <w:kern w:val="0"/>
                <w:szCs w:val="21"/>
                <w:lang w:bidi="ar"/>
              </w:rPr>
              <w:t>.</w:t>
            </w:r>
            <w:r>
              <w:rPr>
                <w:rFonts w:hint="eastAsia" w:ascii="宋体" w:hAnsi="宋体" w:cs="宋体"/>
                <w:color w:val="000000"/>
                <w:szCs w:val="21"/>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w:t>
            </w:r>
            <w:r>
              <w:rPr>
                <w:rFonts w:hint="eastAsia" w:ascii="宋体" w:hAnsi="宋体" w:cs="宋体"/>
                <w:color w:val="000000"/>
                <w:szCs w:val="21"/>
              </w:rPr>
              <w:t>材料科学与工程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30</w:t>
            </w:r>
            <w:r>
              <w:rPr>
                <w:rFonts w:hint="eastAsia" w:ascii="宋体" w:hAnsi="宋体" w:cs="宋体"/>
                <w:color w:val="000000"/>
                <w:kern w:val="0"/>
                <w:szCs w:val="21"/>
                <w:lang w:bidi="ar"/>
              </w:rPr>
              <w:t>.</w:t>
            </w:r>
            <w:r>
              <w:rPr>
                <w:rFonts w:hint="eastAsia" w:ascii="宋体" w:hAnsi="宋体" w:cs="宋体"/>
                <w:color w:val="000000"/>
                <w:szCs w:val="21"/>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.功能材料</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hint="eastAsia" w:ascii="宋体" w:hAnsi="宋体" w:cs="宋体"/>
                <w:color w:val="000000"/>
                <w:kern w:val="0"/>
                <w:szCs w:val="21"/>
                <w:lang w:bidi="ar"/>
              </w:rPr>
              <w:t>3</w:t>
            </w:r>
            <w:r>
              <w:rPr>
                <w:rFonts w:ascii="宋体" w:hAnsi="宋体" w:cs="宋体"/>
                <w:color w:val="000000"/>
                <w:kern w:val="0"/>
                <w:szCs w:val="21"/>
                <w:lang w:bidi="ar"/>
              </w:rPr>
              <w:t>1</w:t>
            </w:r>
            <w:r>
              <w:rPr>
                <w:rFonts w:hint="eastAsia" w:ascii="宋体" w:hAnsi="宋体" w:cs="宋体"/>
                <w:color w:val="000000"/>
                <w:kern w:val="0"/>
                <w:szCs w:val="21"/>
                <w:lang w:bidi="ar"/>
              </w:rPr>
              <w:t>.</w:t>
            </w:r>
            <w:r>
              <w:rPr>
                <w:rFonts w:hint="eastAsia" w:ascii="宋体" w:hAnsi="宋体" w:cs="宋体"/>
                <w:color w:val="000000"/>
                <w:szCs w:val="21"/>
              </w:rPr>
              <w:t>数据科学与云数据技术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restart"/>
            <w:noWrap/>
            <w:vAlign w:val="center"/>
          </w:tcPr>
          <w:p>
            <w:pPr>
              <w:widowControl/>
              <w:jc w:val="center"/>
              <w:textAlignment w:val="bottom"/>
              <w:rPr>
                <w:rFonts w:ascii="宋体" w:hAnsi="宋体" w:cs="宋体"/>
                <w:kern w:val="0"/>
                <w:szCs w:val="21"/>
                <w:lang w:bidi="ar"/>
              </w:rPr>
            </w:pPr>
            <w:r>
              <w:rPr>
                <w:rFonts w:hint="eastAsia" w:ascii="宋体" w:hAnsi="宋体" w:cs="宋体"/>
                <w:kern w:val="0"/>
                <w:szCs w:val="21"/>
                <w:lang w:bidi="ar"/>
              </w:rPr>
              <w:t>生命科学与工程</w:t>
            </w:r>
          </w:p>
          <w:p>
            <w:pPr>
              <w:widowControl/>
              <w:jc w:val="center"/>
              <w:textAlignment w:val="bottom"/>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8</w:t>
            </w:r>
            <w:r>
              <w:rPr>
                <w:rFonts w:hint="eastAsia" w:ascii="宋体" w:hAnsi="宋体" w:cs="宋体"/>
                <w:color w:val="000000"/>
                <w:kern w:val="0"/>
                <w:szCs w:val="21"/>
                <w:lang w:bidi="ar"/>
              </w:rPr>
              <w:t>.</w:t>
            </w:r>
            <w:r>
              <w:rPr>
                <w:rFonts w:hint="eastAsia" w:ascii="宋体" w:hAnsi="宋体" w:cs="宋体"/>
                <w:color w:val="000000"/>
                <w:szCs w:val="21"/>
              </w:rPr>
              <w:t>生物工程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32</w:t>
            </w:r>
            <w:r>
              <w:rPr>
                <w:rFonts w:hint="eastAsia" w:ascii="宋体" w:hAnsi="宋体" w:cs="宋体"/>
                <w:color w:val="000000"/>
                <w:kern w:val="0"/>
                <w:szCs w:val="21"/>
                <w:lang w:bidi="ar"/>
              </w:rPr>
              <w:t>.</w:t>
            </w:r>
            <w:r>
              <w:rPr>
                <w:rFonts w:hint="eastAsia" w:ascii="宋体" w:hAnsi="宋体" w:cs="宋体"/>
                <w:color w:val="000000"/>
                <w:szCs w:val="21"/>
              </w:rPr>
              <w:t>测控技术和仪器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9</w:t>
            </w:r>
            <w:r>
              <w:rPr>
                <w:rFonts w:hint="eastAsia" w:ascii="宋体" w:hAnsi="宋体" w:cs="宋体"/>
                <w:color w:val="000000"/>
                <w:kern w:val="0"/>
                <w:szCs w:val="21"/>
                <w:lang w:bidi="ar"/>
              </w:rPr>
              <w:t>.</w:t>
            </w:r>
            <w:r>
              <w:rPr>
                <w:rFonts w:hint="eastAsia" w:ascii="宋体" w:hAnsi="宋体" w:cs="宋体"/>
                <w:color w:val="000000"/>
                <w:szCs w:val="21"/>
              </w:rPr>
              <w:t>制药工程</w:t>
            </w:r>
          </w:p>
        </w:tc>
        <w:tc>
          <w:tcPr>
            <w:tcW w:w="2706" w:type="dxa"/>
            <w:vMerge w:val="restart"/>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经济管理学院</w:t>
            </w:r>
          </w:p>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33</w:t>
            </w:r>
            <w:r>
              <w:rPr>
                <w:rFonts w:hint="eastAsia" w:ascii="宋体" w:hAnsi="宋体" w:cs="宋体"/>
                <w:color w:val="000000"/>
                <w:kern w:val="0"/>
                <w:szCs w:val="21"/>
                <w:lang w:bidi="ar"/>
              </w:rPr>
              <w:t>.</w:t>
            </w:r>
            <w:r>
              <w:rPr>
                <w:rFonts w:hint="eastAsia" w:ascii="宋体" w:hAnsi="宋体" w:cs="宋体"/>
                <w:color w:val="000000"/>
                <w:szCs w:val="21"/>
              </w:rPr>
              <w:t>国际经济与贸易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10</w:t>
            </w:r>
            <w:r>
              <w:rPr>
                <w:rFonts w:hint="eastAsia" w:ascii="宋体" w:hAnsi="宋体" w:cs="宋体"/>
                <w:color w:val="000000"/>
                <w:kern w:val="0"/>
                <w:szCs w:val="21"/>
                <w:lang w:bidi="ar"/>
              </w:rPr>
              <w:t>.</w:t>
            </w:r>
            <w:r>
              <w:rPr>
                <w:rFonts w:hint="eastAsia" w:ascii="宋体" w:hAnsi="宋体" w:cs="宋体"/>
                <w:color w:val="000000"/>
                <w:szCs w:val="21"/>
              </w:rPr>
              <w:t>生物医学工程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34</w:t>
            </w:r>
            <w:r>
              <w:rPr>
                <w:rFonts w:hint="eastAsia" w:ascii="宋体" w:hAnsi="宋体" w:cs="宋体"/>
                <w:color w:val="000000"/>
                <w:kern w:val="0"/>
                <w:szCs w:val="21"/>
                <w:lang w:bidi="ar"/>
              </w:rPr>
              <w:t>.</w:t>
            </w:r>
            <w:r>
              <w:rPr>
                <w:rFonts w:hint="eastAsia" w:ascii="宋体" w:hAnsi="宋体" w:cs="宋体"/>
                <w:color w:val="000000"/>
                <w:szCs w:val="21"/>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restart"/>
            <w:noWrap/>
            <w:vAlign w:val="center"/>
          </w:tcPr>
          <w:p>
            <w:pPr>
              <w:widowControl/>
              <w:jc w:val="center"/>
              <w:textAlignment w:val="bottom"/>
              <w:rPr>
                <w:rFonts w:ascii="宋体" w:hAnsi="宋体" w:cs="宋体"/>
                <w:kern w:val="0"/>
                <w:szCs w:val="21"/>
                <w:lang w:bidi="ar"/>
              </w:rPr>
            </w:pPr>
          </w:p>
          <w:p>
            <w:pPr>
              <w:widowControl/>
              <w:jc w:val="center"/>
              <w:textAlignment w:val="bottom"/>
              <w:rPr>
                <w:rFonts w:ascii="宋体" w:hAnsi="宋体" w:cs="宋体"/>
                <w:szCs w:val="21"/>
              </w:rPr>
            </w:pPr>
            <w:r>
              <w:rPr>
                <w:rFonts w:hint="eastAsia" w:ascii="宋体" w:hAnsi="宋体" w:cs="宋体"/>
                <w:kern w:val="0"/>
                <w:szCs w:val="21"/>
                <w:lang w:bidi="ar"/>
              </w:rPr>
              <w:t>化学学院</w:t>
            </w:r>
          </w:p>
        </w:tc>
        <w:tc>
          <w:tcPr>
            <w:tcW w:w="2632" w:type="dxa"/>
            <w:noWrap/>
            <w:vAlign w:val="center"/>
          </w:tcPr>
          <w:p>
            <w:pPr>
              <w:jc w:val="left"/>
              <w:rPr>
                <w:rFonts w:ascii="宋体" w:hAnsi="宋体" w:cs="宋体"/>
                <w:color w:val="000000"/>
                <w:szCs w:val="21"/>
              </w:rPr>
            </w:pPr>
            <w:r>
              <w:rPr>
                <w:rFonts w:ascii="宋体" w:hAnsi="宋体" w:cs="宋体"/>
                <w:color w:val="000000"/>
                <w:szCs w:val="21"/>
              </w:rPr>
              <w:t>11</w:t>
            </w:r>
            <w:r>
              <w:rPr>
                <w:rFonts w:hint="eastAsia" w:ascii="宋体" w:hAnsi="宋体" w:cs="宋体"/>
                <w:color w:val="000000"/>
                <w:szCs w:val="21"/>
              </w:rPr>
              <w:t>.应用化学</w:t>
            </w:r>
          </w:p>
        </w:tc>
        <w:tc>
          <w:tcPr>
            <w:tcW w:w="2706" w:type="dxa"/>
            <w:vMerge w:val="continue"/>
            <w:noWrap/>
            <w:vAlign w:val="center"/>
          </w:tcPr>
          <w:p>
            <w:pPr>
              <w:widowControl/>
              <w:jc w:val="left"/>
              <w:textAlignment w:val="bottom"/>
              <w:rPr>
                <w:rFonts w:ascii="宋体" w:hAnsi="宋体" w:cs="宋体"/>
                <w:color w:val="000000"/>
                <w:kern w:val="0"/>
                <w:szCs w:val="21"/>
                <w:lang w:bidi="ar"/>
              </w:rPr>
            </w:pPr>
          </w:p>
        </w:tc>
        <w:tc>
          <w:tcPr>
            <w:tcW w:w="2788" w:type="dxa"/>
            <w:noWrap/>
            <w:vAlign w:val="center"/>
          </w:tcPr>
          <w:p>
            <w:pPr>
              <w:widowControl/>
              <w:jc w:val="left"/>
              <w:textAlignment w:val="bottom"/>
              <w:rPr>
                <w:rFonts w:ascii="宋体" w:hAnsi="宋体" w:cs="宋体"/>
                <w:color w:val="000000"/>
                <w:szCs w:val="21"/>
              </w:rPr>
            </w:pPr>
            <w:r>
              <w:rPr>
                <w:rFonts w:ascii="宋体" w:hAnsi="宋体" w:cs="宋体"/>
                <w:color w:val="000000"/>
                <w:kern w:val="0"/>
                <w:szCs w:val="21"/>
                <w:lang w:bidi="ar"/>
              </w:rPr>
              <w:t>35</w:t>
            </w:r>
            <w:r>
              <w:rPr>
                <w:rFonts w:hint="eastAsia" w:ascii="宋体" w:hAnsi="宋体" w:cs="宋体"/>
                <w:color w:val="000000"/>
                <w:kern w:val="0"/>
                <w:szCs w:val="21"/>
                <w:lang w:bidi="ar"/>
              </w:rPr>
              <w:t>.</w:t>
            </w:r>
            <w:r>
              <w:rPr>
                <w:rFonts w:hint="eastAsia" w:ascii="宋体" w:hAnsi="宋体" w:cs="宋体"/>
                <w:color w:val="000000"/>
                <w:szCs w:val="21"/>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2.资源化学</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hint="eastAsia" w:ascii="宋体" w:hAnsi="宋体" w:cs="宋体"/>
                <w:color w:val="000000"/>
                <w:kern w:val="0"/>
                <w:szCs w:val="21"/>
                <w:lang w:bidi="ar"/>
              </w:rPr>
              <w:t>3</w:t>
            </w:r>
            <w:r>
              <w:rPr>
                <w:rFonts w:ascii="宋体" w:hAnsi="宋体" w:cs="宋体"/>
                <w:color w:val="000000"/>
                <w:kern w:val="0"/>
                <w:szCs w:val="21"/>
                <w:lang w:bidi="ar"/>
              </w:rPr>
              <w:t>6</w:t>
            </w:r>
            <w:r>
              <w:rPr>
                <w:rFonts w:hint="eastAsia" w:ascii="宋体" w:hAnsi="宋体" w:cs="宋体"/>
                <w:color w:val="000000"/>
                <w:kern w:val="0"/>
                <w:szCs w:val="21"/>
                <w:lang w:bidi="ar"/>
              </w:rPr>
              <w:t>.</w:t>
            </w:r>
            <w:r>
              <w:rPr>
                <w:rFonts w:hint="eastAsia" w:ascii="宋体" w:hAnsi="宋体" w:cs="宋体"/>
                <w:color w:val="000000"/>
                <w:szCs w:val="21"/>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szCs w:val="21"/>
              </w:rPr>
            </w:pPr>
          </w:p>
        </w:tc>
        <w:tc>
          <w:tcPr>
            <w:tcW w:w="2632" w:type="dxa"/>
            <w:vMerge w:val="restart"/>
            <w:noWrap/>
            <w:vAlign w:val="center"/>
          </w:tcPr>
          <w:p>
            <w:pPr>
              <w:jc w:val="left"/>
              <w:rPr>
                <w:rFonts w:ascii="宋体" w:hAnsi="宋体" w:cs="宋体"/>
                <w:color w:val="000000"/>
                <w:szCs w:val="21"/>
              </w:rPr>
            </w:pPr>
            <w:r>
              <w:rPr>
                <w:rFonts w:ascii="宋体" w:hAnsi="宋体" w:cs="宋体"/>
                <w:color w:val="000000"/>
                <w:szCs w:val="21"/>
              </w:rPr>
              <w:t>13</w:t>
            </w:r>
            <w:r>
              <w:rPr>
                <w:rFonts w:hint="eastAsia" w:ascii="宋体" w:hAnsi="宋体" w:cs="宋体"/>
                <w:color w:val="000000"/>
                <w:szCs w:val="21"/>
              </w:rPr>
              <w:t>.能源化学</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37</w:t>
            </w:r>
            <w:r>
              <w:rPr>
                <w:rFonts w:hint="eastAsia" w:ascii="宋体" w:hAnsi="宋体" w:cs="宋体"/>
                <w:color w:val="000000"/>
                <w:kern w:val="0"/>
                <w:szCs w:val="21"/>
                <w:lang w:bidi="ar"/>
              </w:rPr>
              <w:t>.</w:t>
            </w:r>
            <w:r>
              <w:rPr>
                <w:rFonts w:hint="eastAsia" w:ascii="宋体" w:hAnsi="宋体" w:cs="宋体"/>
                <w:color w:val="000000"/>
                <w:szCs w:val="21"/>
              </w:rPr>
              <w:t>信息管理与信息系统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51" w:type="dxa"/>
            <w:vMerge w:val="continue"/>
            <w:noWrap/>
            <w:vAlign w:val="center"/>
          </w:tcPr>
          <w:p>
            <w:pPr>
              <w:widowControl/>
              <w:jc w:val="center"/>
              <w:textAlignment w:val="bottom"/>
              <w:rPr>
                <w:rFonts w:ascii="宋体" w:hAnsi="宋体" w:cs="宋体"/>
                <w:szCs w:val="21"/>
              </w:rPr>
            </w:pPr>
          </w:p>
        </w:tc>
        <w:tc>
          <w:tcPr>
            <w:tcW w:w="2632" w:type="dxa"/>
            <w:vMerge w:val="continue"/>
            <w:noWrap/>
            <w:vAlign w:val="center"/>
          </w:tcPr>
          <w:p>
            <w:pPr>
              <w:jc w:val="left"/>
              <w:rPr>
                <w:rFonts w:ascii="宋体" w:hAnsi="宋体" w:cs="宋体"/>
                <w:color w:val="000000"/>
                <w:szCs w:val="21"/>
              </w:rPr>
            </w:pP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kern w:val="0"/>
                <w:szCs w:val="21"/>
                <w:lang w:bidi="ar"/>
              </w:rPr>
            </w:pPr>
            <w:r>
              <w:rPr>
                <w:rFonts w:ascii="宋体" w:hAnsi="宋体" w:cs="宋体"/>
                <w:color w:val="000000"/>
                <w:kern w:val="0"/>
                <w:szCs w:val="21"/>
                <w:lang w:bidi="ar"/>
              </w:rPr>
              <w:t>38</w:t>
            </w:r>
            <w:r>
              <w:rPr>
                <w:rFonts w:hint="eastAsia" w:ascii="宋体" w:hAnsi="宋体" w:cs="宋体"/>
                <w:color w:val="000000"/>
                <w:kern w:val="0"/>
                <w:szCs w:val="21"/>
                <w:lang w:bidi="ar"/>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restart"/>
            <w:noWrap/>
            <w:vAlign w:val="center"/>
          </w:tcPr>
          <w:p>
            <w:pPr>
              <w:widowControl/>
              <w:jc w:val="center"/>
              <w:textAlignment w:val="bottom"/>
              <w:rPr>
                <w:rFonts w:ascii="宋体" w:hAnsi="宋体" w:cs="宋体"/>
                <w:kern w:val="0"/>
                <w:szCs w:val="21"/>
                <w:lang w:bidi="ar"/>
              </w:rPr>
            </w:pPr>
          </w:p>
          <w:p>
            <w:pPr>
              <w:widowControl/>
              <w:jc w:val="center"/>
              <w:textAlignment w:val="bottom"/>
              <w:rPr>
                <w:rFonts w:ascii="宋体" w:hAnsi="宋体" w:cs="宋体"/>
                <w:kern w:val="0"/>
                <w:szCs w:val="21"/>
                <w:lang w:bidi="ar"/>
              </w:rPr>
            </w:pPr>
          </w:p>
          <w:p>
            <w:pPr>
              <w:widowControl/>
              <w:jc w:val="center"/>
              <w:textAlignment w:val="bottom"/>
              <w:rPr>
                <w:rFonts w:ascii="宋体" w:hAnsi="宋体" w:cs="宋体"/>
                <w:kern w:val="0"/>
                <w:szCs w:val="21"/>
                <w:lang w:bidi="ar"/>
              </w:rPr>
            </w:pPr>
            <w:r>
              <w:rPr>
                <w:rFonts w:hint="eastAsia" w:ascii="宋体" w:hAnsi="宋体" w:cs="宋体"/>
                <w:kern w:val="0"/>
                <w:szCs w:val="21"/>
                <w:lang w:bidi="ar"/>
              </w:rPr>
              <w:t>数理学院</w:t>
            </w:r>
          </w:p>
          <w:p>
            <w:pPr>
              <w:widowControl/>
              <w:jc w:val="center"/>
              <w:textAlignment w:val="bottom"/>
              <w:rPr>
                <w:rFonts w:ascii="宋体" w:hAnsi="宋体" w:cs="宋体"/>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14</w:t>
            </w:r>
            <w:r>
              <w:rPr>
                <w:rFonts w:hint="eastAsia" w:ascii="宋体" w:hAnsi="宋体" w:cs="宋体"/>
                <w:color w:val="000000"/>
                <w:szCs w:val="21"/>
              </w:rPr>
              <w:t>.数学与应用数学</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39</w:t>
            </w:r>
            <w:r>
              <w:rPr>
                <w:rFonts w:hint="eastAsia" w:ascii="宋体" w:hAnsi="宋体" w:cs="宋体"/>
                <w:color w:val="000000"/>
                <w:kern w:val="0"/>
                <w:szCs w:val="21"/>
                <w:lang w:bidi="ar"/>
              </w:rPr>
              <w:t>.</w:t>
            </w:r>
            <w:r>
              <w:rPr>
                <w:rFonts w:hint="eastAsia" w:ascii="宋体" w:hAnsi="宋体" w:cs="宋体"/>
                <w:color w:val="000000"/>
                <w:szCs w:val="21"/>
              </w:rPr>
              <w:t>大数据管理与应用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15</w:t>
            </w:r>
            <w:r>
              <w:rPr>
                <w:rFonts w:hint="eastAsia" w:ascii="宋体" w:hAnsi="宋体" w:cs="宋体"/>
                <w:color w:val="000000"/>
                <w:szCs w:val="21"/>
              </w:rPr>
              <w:t>.电子科学与技术</w:t>
            </w:r>
          </w:p>
        </w:tc>
        <w:tc>
          <w:tcPr>
            <w:tcW w:w="2706" w:type="dxa"/>
            <w:vMerge w:val="restart"/>
            <w:noWrap/>
            <w:vAlign w:val="center"/>
          </w:tcPr>
          <w:p>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文法学院</w:t>
            </w:r>
          </w:p>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40</w:t>
            </w:r>
            <w:r>
              <w:rPr>
                <w:rFonts w:hint="eastAsia" w:ascii="宋体" w:hAnsi="宋体" w:cs="宋体"/>
                <w:color w:val="000000"/>
                <w:kern w:val="0"/>
                <w:szCs w:val="21"/>
                <w:lang w:bidi="ar"/>
              </w:rPr>
              <w:t>.</w:t>
            </w:r>
            <w:r>
              <w:rPr>
                <w:rFonts w:hint="eastAsia" w:ascii="宋体" w:hAnsi="宋体" w:cs="宋体"/>
                <w:color w:val="000000"/>
                <w:szCs w:val="21"/>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szCs w:val="21"/>
              </w:rPr>
            </w:pPr>
          </w:p>
        </w:tc>
        <w:tc>
          <w:tcPr>
            <w:tcW w:w="2632" w:type="dxa"/>
            <w:noWrap/>
            <w:vAlign w:val="center"/>
          </w:tcPr>
          <w:p>
            <w:pPr>
              <w:jc w:val="lef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r>
              <w:rPr>
                <w:rFonts w:hint="eastAsia" w:ascii="宋体" w:hAnsi="宋体" w:cs="宋体"/>
                <w:color w:val="000000"/>
                <w:szCs w:val="21"/>
              </w:rPr>
              <w:t>.信息与计算科学</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41</w:t>
            </w:r>
            <w:r>
              <w:rPr>
                <w:rFonts w:hint="eastAsia" w:ascii="宋体" w:hAnsi="宋体" w:cs="宋体"/>
                <w:color w:val="000000"/>
                <w:kern w:val="0"/>
                <w:szCs w:val="21"/>
                <w:lang w:bidi="ar"/>
              </w:rPr>
              <w:t>.</w:t>
            </w:r>
            <w:r>
              <w:rPr>
                <w:rFonts w:hint="eastAsia" w:ascii="宋体" w:hAnsi="宋体" w:cs="宋体"/>
                <w:color w:val="000000"/>
                <w:szCs w:val="21"/>
              </w:rPr>
              <w:t>公用事业管理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szCs w:val="21"/>
              </w:rPr>
            </w:pPr>
          </w:p>
        </w:tc>
        <w:tc>
          <w:tcPr>
            <w:tcW w:w="2632" w:type="dxa"/>
            <w:noWrap/>
            <w:vAlign w:val="center"/>
          </w:tcPr>
          <w:p>
            <w:pPr>
              <w:jc w:val="left"/>
              <w:rPr>
                <w:rFonts w:ascii="宋体" w:hAnsi="宋体" w:cs="宋体"/>
                <w:color w:val="000000"/>
                <w:szCs w:val="21"/>
              </w:rPr>
            </w:pPr>
            <w:r>
              <w:rPr>
                <w:rFonts w:ascii="宋体" w:hAnsi="宋体" w:cs="宋体"/>
                <w:color w:val="000000"/>
                <w:szCs w:val="21"/>
              </w:rPr>
              <w:t>17</w:t>
            </w:r>
            <w:r>
              <w:rPr>
                <w:rFonts w:hint="eastAsia" w:ascii="宋体" w:hAnsi="宋体" w:cs="宋体"/>
                <w:color w:val="000000"/>
                <w:szCs w:val="21"/>
              </w:rPr>
              <w:t>.金融数学</w:t>
            </w:r>
          </w:p>
          <w:p>
            <w:pPr>
              <w:jc w:val="left"/>
              <w:rPr>
                <w:rFonts w:hint="eastAsia" w:ascii="宋体" w:hAnsi="宋体" w:cs="宋体"/>
                <w:color w:val="000000"/>
                <w:szCs w:val="21"/>
              </w:rPr>
            </w:pPr>
            <w:r>
              <w:rPr>
                <w:rFonts w:ascii="宋体" w:hAnsi="宋体" w:cs="宋体"/>
                <w:color w:val="000000"/>
                <w:szCs w:val="21"/>
              </w:rPr>
              <w:t>18.</w:t>
            </w:r>
            <w:r>
              <w:rPr>
                <w:rFonts w:hint="eastAsia" w:ascii="宋体" w:hAnsi="宋体" w:cs="宋体"/>
                <w:color w:val="000000"/>
                <w:szCs w:val="21"/>
              </w:rPr>
              <w:t>应用物理学</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hint="eastAsia" w:ascii="宋体" w:hAnsi="宋体" w:cs="宋体"/>
                <w:color w:val="000000"/>
                <w:kern w:val="0"/>
                <w:szCs w:val="21"/>
                <w:lang w:bidi="ar"/>
              </w:rPr>
              <w:t>4</w:t>
            </w:r>
            <w:r>
              <w:rPr>
                <w:rFonts w:ascii="宋体" w:hAnsi="宋体" w:cs="宋体"/>
                <w:color w:val="000000"/>
                <w:kern w:val="0"/>
                <w:szCs w:val="21"/>
                <w:lang w:bidi="ar"/>
              </w:rPr>
              <w:t>2</w:t>
            </w:r>
            <w:r>
              <w:rPr>
                <w:rFonts w:hint="eastAsia" w:ascii="宋体" w:hAnsi="宋体" w:cs="宋体"/>
                <w:color w:val="000000"/>
                <w:kern w:val="0"/>
                <w:szCs w:val="21"/>
                <w:lang w:bidi="ar"/>
              </w:rPr>
              <w:t>.</w:t>
            </w:r>
            <w:r>
              <w:rPr>
                <w:rFonts w:hint="eastAsia" w:ascii="宋体" w:hAnsi="宋体" w:cs="宋体"/>
                <w:color w:val="000000"/>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restart"/>
            <w:noWrap/>
            <w:vAlign w:val="center"/>
          </w:tcPr>
          <w:p>
            <w:pPr>
              <w:widowControl/>
              <w:jc w:val="center"/>
              <w:textAlignment w:val="bottom"/>
              <w:rPr>
                <w:rFonts w:ascii="宋体" w:hAnsi="宋体" w:cs="宋体"/>
                <w:kern w:val="0"/>
                <w:szCs w:val="21"/>
                <w:lang w:bidi="ar"/>
              </w:rPr>
            </w:pPr>
          </w:p>
          <w:p>
            <w:pPr>
              <w:widowControl/>
              <w:jc w:val="center"/>
              <w:textAlignment w:val="bottom"/>
              <w:rPr>
                <w:rFonts w:ascii="宋体" w:hAnsi="宋体" w:cs="宋体"/>
                <w:kern w:val="0"/>
                <w:szCs w:val="21"/>
                <w:lang w:bidi="ar"/>
              </w:rPr>
            </w:pPr>
          </w:p>
          <w:p>
            <w:pPr>
              <w:widowControl/>
              <w:jc w:val="center"/>
              <w:textAlignment w:val="bottom"/>
              <w:rPr>
                <w:rFonts w:ascii="宋体" w:hAnsi="宋体" w:cs="宋体"/>
                <w:kern w:val="0"/>
                <w:szCs w:val="21"/>
                <w:lang w:bidi="ar"/>
              </w:rPr>
            </w:pPr>
            <w:r>
              <w:rPr>
                <w:rFonts w:hint="eastAsia" w:ascii="宋体" w:hAnsi="宋体" w:cs="宋体"/>
                <w:kern w:val="0"/>
                <w:szCs w:val="21"/>
                <w:lang w:bidi="ar"/>
              </w:rPr>
              <w:t>机电工程学院</w:t>
            </w:r>
          </w:p>
          <w:p>
            <w:pPr>
              <w:widowControl/>
              <w:jc w:val="center"/>
              <w:textAlignment w:val="bottom"/>
              <w:rPr>
                <w:rFonts w:ascii="宋体" w:hAnsi="宋体" w:cs="宋体"/>
                <w:kern w:val="0"/>
                <w:szCs w:val="21"/>
                <w:lang w:bidi="ar"/>
              </w:rPr>
            </w:pPr>
          </w:p>
          <w:p>
            <w:pPr>
              <w:widowControl/>
              <w:jc w:val="center"/>
              <w:textAlignment w:val="bottom"/>
              <w:rPr>
                <w:rFonts w:ascii="宋体" w:hAnsi="宋体" w:cs="宋体"/>
                <w:kern w:val="0"/>
                <w:szCs w:val="21"/>
                <w:lang w:bidi="ar"/>
              </w:rPr>
            </w:pPr>
          </w:p>
          <w:p>
            <w:pPr>
              <w:widowControl/>
              <w:jc w:val="center"/>
              <w:textAlignment w:val="bottom"/>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19</w:t>
            </w:r>
            <w:r>
              <w:rPr>
                <w:rFonts w:hint="eastAsia" w:ascii="宋体" w:hAnsi="宋体" w:cs="宋体"/>
                <w:color w:val="000000"/>
                <w:kern w:val="0"/>
                <w:szCs w:val="21"/>
                <w:lang w:bidi="ar"/>
              </w:rPr>
              <w:t>.</w:t>
            </w:r>
            <w:r>
              <w:rPr>
                <w:rFonts w:hint="eastAsia" w:ascii="宋体" w:hAnsi="宋体" w:cs="宋体"/>
                <w:color w:val="000000"/>
                <w:szCs w:val="21"/>
              </w:rPr>
              <w:t>过程装备与控制工程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43</w:t>
            </w:r>
            <w:r>
              <w:rPr>
                <w:rFonts w:hint="eastAsia" w:ascii="宋体" w:hAnsi="宋体" w:cs="宋体"/>
                <w:color w:val="000000"/>
                <w:kern w:val="0"/>
                <w:szCs w:val="21"/>
                <w:lang w:bidi="ar"/>
              </w:rPr>
              <w:t>.</w:t>
            </w:r>
            <w:r>
              <w:rPr>
                <w:rFonts w:hint="eastAsia" w:ascii="宋体" w:hAnsi="宋体" w:cs="宋体"/>
                <w:color w:val="000000"/>
                <w:szCs w:val="21"/>
              </w:rPr>
              <w:t>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51" w:type="dxa"/>
            <w:vMerge w:val="continue"/>
            <w:noWrap/>
            <w:vAlign w:val="center"/>
          </w:tcPr>
          <w:p>
            <w:pPr>
              <w:jc w:val="left"/>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20</w:t>
            </w:r>
            <w:r>
              <w:rPr>
                <w:rFonts w:hint="eastAsia" w:ascii="宋体" w:hAnsi="宋体" w:cs="宋体"/>
                <w:color w:val="000000"/>
                <w:kern w:val="0"/>
                <w:szCs w:val="21"/>
                <w:lang w:bidi="ar"/>
              </w:rPr>
              <w:t>.</w:t>
            </w:r>
            <w:r>
              <w:rPr>
                <w:rFonts w:hint="eastAsia" w:ascii="宋体" w:hAnsi="宋体" w:cs="宋体"/>
                <w:color w:val="000000"/>
                <w:szCs w:val="21"/>
              </w:rPr>
              <w:t>机械设计制造与自动化</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r>
              <w:rPr>
                <w:rFonts w:hint="eastAsia" w:ascii="宋体" w:hAnsi="宋体" w:cs="宋体"/>
                <w:color w:val="000000"/>
                <w:szCs w:val="21"/>
              </w:rPr>
              <w:t>社会体育指导与管理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1" w:type="dxa"/>
            <w:vMerge w:val="continue"/>
            <w:noWrap/>
            <w:vAlign w:val="center"/>
          </w:tcPr>
          <w:p>
            <w:pPr>
              <w:jc w:val="left"/>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21</w:t>
            </w:r>
            <w:r>
              <w:rPr>
                <w:rFonts w:hint="eastAsia" w:ascii="宋体" w:hAnsi="宋体" w:cs="宋体"/>
                <w:color w:val="000000"/>
                <w:kern w:val="0"/>
                <w:szCs w:val="21"/>
                <w:lang w:bidi="ar"/>
              </w:rPr>
              <w:t>.</w:t>
            </w:r>
            <w:r>
              <w:rPr>
                <w:rFonts w:hint="eastAsia" w:ascii="宋体" w:hAnsi="宋体" w:cs="宋体"/>
                <w:color w:val="000000"/>
                <w:szCs w:val="21"/>
              </w:rPr>
              <w:t>安全工程</w:t>
            </w:r>
          </w:p>
        </w:tc>
        <w:tc>
          <w:tcPr>
            <w:tcW w:w="2706" w:type="dxa"/>
            <w:vMerge w:val="restart"/>
            <w:noWrap/>
            <w:vAlign w:val="center"/>
          </w:tcPr>
          <w:p>
            <w:pPr>
              <w:ind w:firstLine="840" w:firstLineChars="400"/>
              <w:jc w:val="left"/>
              <w:rPr>
                <w:rFonts w:ascii="宋体" w:hAnsi="宋体" w:cs="宋体"/>
                <w:color w:val="000000"/>
                <w:kern w:val="0"/>
                <w:szCs w:val="21"/>
                <w:lang w:bidi="ar"/>
              </w:rPr>
            </w:pPr>
            <w:r>
              <w:rPr>
                <w:rFonts w:hint="eastAsia" w:ascii="宋体" w:hAnsi="宋体" w:cs="宋体"/>
                <w:color w:val="000000"/>
                <w:kern w:val="0"/>
                <w:szCs w:val="21"/>
                <w:lang w:bidi="ar"/>
              </w:rPr>
              <w:t>艺术类</w:t>
            </w:r>
          </w:p>
        </w:tc>
        <w:tc>
          <w:tcPr>
            <w:tcW w:w="2788" w:type="dxa"/>
            <w:noWrap/>
            <w:vAlign w:val="center"/>
          </w:tcPr>
          <w:p>
            <w:pPr>
              <w:jc w:val="left"/>
              <w:rPr>
                <w:rFonts w:ascii="宋体" w:hAnsi="宋体" w:cs="宋体"/>
                <w:color w:val="000000"/>
                <w:szCs w:val="21"/>
              </w:rPr>
            </w:pPr>
            <w:r>
              <w:rPr>
                <w:rFonts w:ascii="宋体" w:hAnsi="宋体" w:cs="宋体"/>
                <w:color w:val="000000"/>
                <w:kern w:val="0"/>
                <w:szCs w:val="21"/>
                <w:lang w:bidi="ar"/>
              </w:rPr>
              <w:t>45</w:t>
            </w:r>
            <w:r>
              <w:rPr>
                <w:rFonts w:hint="eastAsia" w:ascii="宋体" w:hAnsi="宋体" w:cs="宋体"/>
                <w:color w:val="000000"/>
                <w:kern w:val="0"/>
                <w:szCs w:val="21"/>
                <w:lang w:bidi="ar"/>
              </w:rPr>
              <w:t>.</w:t>
            </w:r>
            <w:r>
              <w:rPr>
                <w:rFonts w:hint="eastAsia" w:ascii="宋体" w:hAnsi="宋体" w:cs="宋体"/>
                <w:color w:val="000000"/>
                <w:szCs w:val="21"/>
              </w:rPr>
              <w:t>数字媒体艺术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51" w:type="dxa"/>
            <w:vMerge w:val="continue"/>
            <w:noWrap/>
            <w:vAlign w:val="center"/>
          </w:tcPr>
          <w:p>
            <w:pPr>
              <w:jc w:val="left"/>
              <w:rPr>
                <w:rFonts w:ascii="宋体" w:hAnsi="宋体" w:cs="宋体"/>
                <w:kern w:val="0"/>
                <w:szCs w:val="21"/>
                <w:lang w:bidi="ar"/>
              </w:rPr>
            </w:pPr>
          </w:p>
        </w:tc>
        <w:tc>
          <w:tcPr>
            <w:tcW w:w="2632" w:type="dxa"/>
            <w:noWrap/>
            <w:vAlign w:val="center"/>
          </w:tcPr>
          <w:p>
            <w:pPr>
              <w:jc w:val="left"/>
              <w:rPr>
                <w:rFonts w:ascii="宋体" w:hAnsi="宋体" w:cs="宋体"/>
                <w:color w:val="000000"/>
                <w:szCs w:val="21"/>
              </w:rPr>
            </w:pPr>
            <w:r>
              <w:rPr>
                <w:rFonts w:ascii="宋体" w:hAnsi="宋体" w:cs="宋体"/>
                <w:color w:val="000000"/>
                <w:kern w:val="0"/>
                <w:szCs w:val="21"/>
                <w:lang w:bidi="ar"/>
              </w:rPr>
              <w:t>22</w:t>
            </w:r>
            <w:r>
              <w:rPr>
                <w:rFonts w:hint="eastAsia" w:ascii="宋体" w:hAnsi="宋体" w:cs="宋体"/>
                <w:color w:val="000000"/>
                <w:kern w:val="0"/>
                <w:szCs w:val="21"/>
                <w:lang w:bidi="ar"/>
              </w:rPr>
              <w:t>.</w:t>
            </w:r>
            <w:r>
              <w:rPr>
                <w:rFonts w:hint="eastAsia" w:ascii="宋体" w:hAnsi="宋体" w:cs="宋体"/>
                <w:color w:val="000000"/>
                <w:szCs w:val="21"/>
              </w:rPr>
              <w:t>机器人工程</w:t>
            </w:r>
          </w:p>
        </w:tc>
        <w:tc>
          <w:tcPr>
            <w:tcW w:w="2706" w:type="dxa"/>
            <w:vMerge w:val="continue"/>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szCs w:val="21"/>
              </w:rPr>
            </w:pPr>
            <w:r>
              <w:rPr>
                <w:rFonts w:hint="eastAsia" w:ascii="宋体" w:hAnsi="宋体" w:cs="宋体"/>
                <w:color w:val="000000"/>
                <w:kern w:val="0"/>
                <w:szCs w:val="21"/>
                <w:lang w:bidi="ar"/>
              </w:rPr>
              <w:t>4</w:t>
            </w:r>
            <w:r>
              <w:rPr>
                <w:rFonts w:ascii="宋体" w:hAnsi="宋体" w:cs="宋体"/>
                <w:color w:val="000000"/>
                <w:kern w:val="0"/>
                <w:szCs w:val="21"/>
                <w:lang w:bidi="ar"/>
              </w:rPr>
              <w:t>6</w:t>
            </w:r>
            <w:r>
              <w:rPr>
                <w:rFonts w:hint="eastAsia" w:ascii="宋体" w:hAnsi="宋体" w:cs="宋体"/>
                <w:color w:val="000000"/>
                <w:kern w:val="0"/>
                <w:szCs w:val="21"/>
                <w:lang w:bidi="ar"/>
              </w:rPr>
              <w:t>.</w:t>
            </w:r>
            <w:r>
              <w:rPr>
                <w:rFonts w:hint="eastAsia" w:ascii="宋体" w:hAnsi="宋体" w:cs="宋体"/>
                <w:color w:val="000000"/>
                <w:szCs w:val="21"/>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151" w:type="dxa"/>
            <w:noWrap/>
            <w:vAlign w:val="center"/>
          </w:tcPr>
          <w:p>
            <w:pPr>
              <w:jc w:val="center"/>
              <w:rPr>
                <w:rFonts w:ascii="宋体" w:hAnsi="宋体" w:cs="宋体"/>
                <w:kern w:val="0"/>
                <w:szCs w:val="21"/>
                <w:lang w:bidi="ar"/>
              </w:rPr>
            </w:pPr>
            <w:r>
              <w:rPr>
                <w:rFonts w:hint="eastAsia" w:ascii="宋体" w:hAnsi="宋体" w:cs="宋体"/>
                <w:kern w:val="0"/>
                <w:szCs w:val="21"/>
                <w:lang w:bidi="ar"/>
              </w:rPr>
              <w:t>北京化学学院(巴黎居里工程学院)</w:t>
            </w:r>
          </w:p>
        </w:tc>
        <w:tc>
          <w:tcPr>
            <w:tcW w:w="2632" w:type="dxa"/>
            <w:noWrap/>
            <w:vAlign w:val="center"/>
          </w:tcPr>
          <w:p>
            <w:pPr>
              <w:jc w:val="left"/>
              <w:rPr>
                <w:rFonts w:ascii="宋体" w:hAnsi="宋体" w:cs="宋体"/>
                <w:color w:val="000000"/>
                <w:kern w:val="0"/>
                <w:szCs w:val="21"/>
                <w:lang w:bidi="ar"/>
              </w:rPr>
            </w:pPr>
            <w:r>
              <w:rPr>
                <w:rFonts w:ascii="宋体" w:hAnsi="宋体" w:cs="宋体"/>
                <w:color w:val="000000"/>
                <w:kern w:val="0"/>
                <w:szCs w:val="21"/>
                <w:lang w:bidi="ar"/>
              </w:rPr>
              <w:t>23</w:t>
            </w:r>
            <w:r>
              <w:rPr>
                <w:rFonts w:hint="eastAsia" w:ascii="宋体" w:hAnsi="宋体" w:cs="宋体"/>
                <w:color w:val="000000"/>
                <w:kern w:val="0"/>
                <w:szCs w:val="21"/>
                <w:lang w:bidi="ar"/>
              </w:rPr>
              <w:t>.化学工程与工艺</w:t>
            </w:r>
          </w:p>
          <w:p>
            <w:pPr>
              <w:jc w:val="left"/>
              <w:rPr>
                <w:rFonts w:ascii="宋体" w:hAnsi="宋体" w:cs="宋体"/>
                <w:color w:val="000000"/>
                <w:kern w:val="0"/>
                <w:szCs w:val="21"/>
                <w:lang w:bidi="ar"/>
              </w:rPr>
            </w:pPr>
            <w:r>
              <w:rPr>
                <w:rFonts w:ascii="宋体" w:hAnsi="宋体" w:cs="宋体"/>
                <w:color w:val="000000"/>
                <w:kern w:val="0"/>
                <w:szCs w:val="21"/>
                <w:lang w:bidi="ar"/>
              </w:rPr>
              <w:t>24</w:t>
            </w:r>
            <w:r>
              <w:rPr>
                <w:rFonts w:hint="eastAsia" w:ascii="宋体" w:hAnsi="宋体" w:cs="宋体"/>
                <w:color w:val="000000"/>
                <w:kern w:val="0"/>
                <w:szCs w:val="21"/>
                <w:lang w:bidi="ar"/>
              </w:rPr>
              <w:t>.高分子材料与工程</w:t>
            </w:r>
          </w:p>
          <w:p>
            <w:pPr>
              <w:jc w:val="left"/>
              <w:rPr>
                <w:rFonts w:ascii="宋体" w:hAnsi="宋体" w:cs="宋体"/>
                <w:color w:val="000000"/>
                <w:kern w:val="0"/>
                <w:szCs w:val="21"/>
                <w:lang w:bidi="ar"/>
              </w:rPr>
            </w:pPr>
            <w:r>
              <w:rPr>
                <w:rFonts w:ascii="宋体" w:hAnsi="宋体" w:cs="宋体"/>
                <w:color w:val="000000"/>
                <w:kern w:val="0"/>
                <w:szCs w:val="21"/>
                <w:lang w:bidi="ar"/>
              </w:rPr>
              <w:t>25</w:t>
            </w:r>
            <w:r>
              <w:rPr>
                <w:rFonts w:hint="eastAsia" w:ascii="宋体" w:hAnsi="宋体" w:cs="宋体"/>
                <w:color w:val="000000"/>
                <w:kern w:val="0"/>
                <w:szCs w:val="21"/>
                <w:lang w:bidi="ar"/>
              </w:rPr>
              <w:t>.生物工程</w:t>
            </w:r>
          </w:p>
        </w:tc>
        <w:tc>
          <w:tcPr>
            <w:tcW w:w="2706" w:type="dxa"/>
            <w:noWrap/>
            <w:vAlign w:val="center"/>
          </w:tcPr>
          <w:p>
            <w:pPr>
              <w:jc w:val="left"/>
              <w:rPr>
                <w:rFonts w:ascii="宋体" w:hAnsi="宋体" w:cs="宋体"/>
                <w:color w:val="000000"/>
                <w:kern w:val="0"/>
                <w:szCs w:val="21"/>
                <w:lang w:bidi="ar"/>
              </w:rPr>
            </w:pPr>
          </w:p>
        </w:tc>
        <w:tc>
          <w:tcPr>
            <w:tcW w:w="2788" w:type="dxa"/>
            <w:noWrap/>
            <w:vAlign w:val="center"/>
          </w:tcPr>
          <w:p>
            <w:pPr>
              <w:jc w:val="left"/>
              <w:rPr>
                <w:rFonts w:ascii="宋体" w:hAnsi="宋体" w:cs="宋体"/>
                <w:color w:val="000000"/>
                <w:kern w:val="0"/>
                <w:szCs w:val="21"/>
                <w:lang w:bidi="ar"/>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0"/>
          <w:numId w:val="3"/>
        </w:numPr>
        <w:spacing w:line="360" w:lineRule="auto"/>
        <w:rPr>
          <w:rFonts w:ascii="宋体" w:hAnsi="宋体" w:cs="宋体"/>
          <w:b/>
          <w:sz w:val="24"/>
        </w:rPr>
      </w:pPr>
      <w:r>
        <w:rPr>
          <w:rFonts w:hint="eastAsia" w:ascii="宋体" w:hAnsi="宋体" w:cs="宋体"/>
          <w:b/>
          <w:sz w:val="24"/>
        </w:rPr>
        <w:t>申请资格</w:t>
      </w:r>
    </w:p>
    <w:p>
      <w:pPr>
        <w:spacing w:line="360" w:lineRule="auto"/>
        <w:rPr>
          <w:rFonts w:ascii="宋体" w:hAnsi="宋体" w:cs="宋体"/>
          <w:sz w:val="24"/>
        </w:rPr>
      </w:pPr>
      <w:r>
        <w:rPr>
          <w:rFonts w:hint="eastAsia" w:ascii="宋体" w:hAnsi="宋体" w:cs="宋体"/>
          <w:sz w:val="24"/>
        </w:rPr>
        <w:t>1.申请人必须是中国以外国家的公民，身体健康。</w:t>
      </w:r>
    </w:p>
    <w:p>
      <w:pPr>
        <w:spacing w:line="360" w:lineRule="auto"/>
        <w:rPr>
          <w:rFonts w:ascii="宋体" w:hAnsi="宋体" w:cs="宋体"/>
          <w:sz w:val="24"/>
        </w:rPr>
      </w:pPr>
      <w:r>
        <w:rPr>
          <w:rFonts w:hint="eastAsia" w:ascii="宋体" w:hAnsi="宋体" w:cs="宋体"/>
          <w:sz w:val="24"/>
        </w:rPr>
        <w:t>2.申请人应具有高中学历，年龄不超过25岁;</w:t>
      </w:r>
    </w:p>
    <w:p>
      <w:pPr>
        <w:spacing w:line="360" w:lineRule="auto"/>
        <w:rPr>
          <w:rFonts w:ascii="宋体" w:hAnsi="宋体" w:cs="宋体"/>
          <w:sz w:val="24"/>
        </w:rPr>
      </w:pPr>
      <w:r>
        <w:rPr>
          <w:rFonts w:hint="eastAsia" w:ascii="宋体" w:hAnsi="宋体" w:cs="宋体"/>
          <w:sz w:val="24"/>
        </w:rPr>
        <w:t>3.申请人应具有优秀的学习或研究能力。</w:t>
      </w:r>
    </w:p>
    <w:p>
      <w:pPr>
        <w:spacing w:line="360" w:lineRule="auto"/>
        <w:rPr>
          <w:rFonts w:ascii="宋体" w:hAnsi="宋体" w:cs="宋体"/>
          <w:sz w:val="24"/>
        </w:rPr>
      </w:pPr>
    </w:p>
    <w:p>
      <w:pPr>
        <w:pStyle w:val="6"/>
        <w:widowControl/>
        <w:numPr>
          <w:ilvl w:val="0"/>
          <w:numId w:val="3"/>
        </w:numPr>
        <w:shd w:val="clear" w:color="auto" w:fill="FFFFFF"/>
        <w:spacing w:before="0" w:beforeAutospacing="0" w:after="0" w:afterAutospacing="0" w:line="360" w:lineRule="auto"/>
        <w:jc w:val="both"/>
        <w:rPr>
          <w:rFonts w:ascii="宋体" w:hAnsi="宋体" w:cs="宋体"/>
          <w:b/>
        </w:rPr>
      </w:pPr>
      <w:r>
        <w:rPr>
          <w:rFonts w:hint="eastAsia" w:ascii="宋体" w:hAnsi="宋体" w:cs="宋体"/>
          <w:b/>
        </w:rPr>
        <w:t>申请及录取流程</w:t>
      </w:r>
      <w:r>
        <w:rPr>
          <w:rFonts w:hint="eastAsia" w:ascii="宋体" w:hAnsi="宋体" w:cs="宋体"/>
          <w:b/>
          <w:lang w:val="en-US" w:eastAsia="zh-CN"/>
        </w:rPr>
        <w:t xml:space="preserve"> </w:t>
      </w:r>
      <w:r>
        <w:rPr>
          <w:rFonts w:hint="eastAsia" w:ascii="宋体" w:hAnsi="宋体" w:cs="宋体"/>
          <w:bCs/>
        </w:rPr>
        <w:t>(截止日期2024年6月</w:t>
      </w:r>
      <w:r>
        <w:rPr>
          <w:rFonts w:hint="eastAsia" w:ascii="宋体" w:hAnsi="宋体" w:cs="宋体"/>
          <w:bCs/>
          <w:lang w:val="en-US" w:eastAsia="zh-CN"/>
        </w:rPr>
        <w:t>3</w:t>
      </w:r>
      <w:r>
        <w:rPr>
          <w:rFonts w:hint="eastAsia" w:ascii="宋体" w:hAnsi="宋体" w:cs="宋体"/>
          <w:bCs/>
        </w:rPr>
        <w:t>0日)</w:t>
      </w:r>
    </w:p>
    <w:p>
      <w:pPr>
        <w:spacing w:line="360" w:lineRule="auto"/>
        <w:rPr>
          <w:rFonts w:ascii="宋体" w:hAnsi="宋体" w:cs="宋体"/>
          <w:sz w:val="24"/>
        </w:rPr>
      </w:pPr>
      <w:r>
        <w:rPr>
          <w:rFonts w:hint="eastAsia" w:ascii="宋体" w:hAnsi="宋体" w:cs="宋体"/>
          <w:sz w:val="24"/>
        </w:rPr>
        <w:t>1.注册您的帐户并激活http://study.buct.edu.cn，在线申请并上传材料;</w:t>
      </w:r>
    </w:p>
    <w:p>
      <w:pPr>
        <w:spacing w:line="360" w:lineRule="auto"/>
        <w:rPr>
          <w:rFonts w:ascii="宋体" w:hAnsi="宋体" w:cs="宋体"/>
          <w:sz w:val="24"/>
        </w:rPr>
      </w:pPr>
      <w:r>
        <w:rPr>
          <w:rFonts w:hint="eastAsia" w:ascii="宋体" w:hAnsi="宋体" w:cs="宋体"/>
          <w:sz w:val="24"/>
        </w:rPr>
        <w:t>2.资料评审;</w:t>
      </w:r>
    </w:p>
    <w:p>
      <w:pPr>
        <w:spacing w:line="360" w:lineRule="auto"/>
        <w:rPr>
          <w:rFonts w:ascii="宋体" w:hAnsi="宋体" w:cs="宋体"/>
          <w:sz w:val="24"/>
        </w:rPr>
      </w:pPr>
      <w:r>
        <w:rPr>
          <w:rFonts w:hint="eastAsia" w:ascii="宋体" w:hAnsi="宋体" w:cs="宋体"/>
          <w:sz w:val="24"/>
        </w:rPr>
        <w:t>3.视频面试;</w:t>
      </w:r>
    </w:p>
    <w:p>
      <w:pPr>
        <w:spacing w:line="360" w:lineRule="auto"/>
        <w:rPr>
          <w:rFonts w:ascii="宋体" w:hAnsi="宋体" w:cs="宋体"/>
          <w:sz w:val="24"/>
        </w:rPr>
      </w:pPr>
      <w:r>
        <w:rPr>
          <w:rFonts w:hint="eastAsia" w:ascii="宋体" w:hAnsi="宋体" w:cs="宋体"/>
          <w:sz w:val="24"/>
        </w:rPr>
        <w:t>4.录取通知(所有被录取的申请人将通过电子邮件通知)</w:t>
      </w:r>
    </w:p>
    <w:p>
      <w:pPr>
        <w:spacing w:line="360" w:lineRule="auto"/>
        <w:rPr>
          <w:rFonts w:ascii="宋体" w:hAnsi="宋体" w:cs="宋体"/>
          <w:sz w:val="24"/>
        </w:rPr>
      </w:pPr>
      <w:r>
        <w:rPr>
          <w:rFonts w:hint="eastAsia" w:ascii="宋体" w:hAnsi="宋体" w:cs="宋体"/>
          <w:sz w:val="24"/>
        </w:rPr>
        <w:t>5. 学校寄送《JW201/202表》及《录取通知书》。</w:t>
      </w:r>
    </w:p>
    <w:p>
      <w:pPr>
        <w:pStyle w:val="6"/>
        <w:widowControl/>
        <w:shd w:val="clear" w:color="auto" w:fill="FFFFFF"/>
        <w:spacing w:before="0" w:beforeAutospacing="0" w:after="0" w:afterAutospacing="0" w:line="360" w:lineRule="auto"/>
        <w:rPr>
          <w:rFonts w:ascii="宋体" w:hAnsi="宋体" w:cs="宋体"/>
          <w:color w:val="333333"/>
          <w:spacing w:val="30"/>
          <w:kern w:val="2"/>
          <w:shd w:val="clear" w:color="auto" w:fill="FFFFFF"/>
        </w:rPr>
      </w:pPr>
    </w:p>
    <w:p>
      <w:pPr>
        <w:numPr>
          <w:ilvl w:val="0"/>
          <w:numId w:val="3"/>
        </w:numPr>
        <w:spacing w:line="360" w:lineRule="auto"/>
        <w:rPr>
          <w:rFonts w:ascii="宋体" w:hAnsi="宋体" w:cs="宋体"/>
          <w:b/>
          <w:sz w:val="24"/>
        </w:rPr>
      </w:pPr>
      <w:r>
        <w:rPr>
          <w:rFonts w:hint="eastAsia" w:ascii="宋体" w:hAnsi="宋体" w:cs="宋体"/>
          <w:b/>
          <w:sz w:val="24"/>
        </w:rPr>
        <w:t>申报材料</w:t>
      </w:r>
    </w:p>
    <w:p>
      <w:pPr>
        <w:numPr>
          <w:ilvl w:val="0"/>
          <w:numId w:val="4"/>
        </w:numPr>
        <w:spacing w:line="360" w:lineRule="auto"/>
        <w:ind w:firstLine="240" w:firstLineChars="100"/>
        <w:rPr>
          <w:rFonts w:ascii="宋体" w:hAnsi="宋体" w:cs="宋体"/>
          <w:sz w:val="24"/>
        </w:rPr>
      </w:pPr>
      <w:r>
        <w:rPr>
          <w:rFonts w:hint="eastAsia" w:ascii="宋体" w:hAnsi="宋体" w:cs="宋体"/>
          <w:sz w:val="24"/>
        </w:rPr>
        <w:t xml:space="preserve"> 个人简历；</w:t>
      </w:r>
    </w:p>
    <w:p>
      <w:pPr>
        <w:numPr>
          <w:ilvl w:val="0"/>
          <w:numId w:val="4"/>
        </w:numPr>
        <w:spacing w:line="360" w:lineRule="auto"/>
        <w:ind w:firstLine="240" w:firstLineChars="100"/>
        <w:rPr>
          <w:rFonts w:ascii="宋体" w:hAnsi="宋体" w:cs="宋体"/>
          <w:sz w:val="24"/>
        </w:rPr>
      </w:pPr>
      <w:r>
        <w:rPr>
          <w:rFonts w:hint="eastAsia" w:ascii="宋体" w:hAnsi="宋体" w:cs="宋体"/>
          <w:sz w:val="24"/>
        </w:rPr>
        <w:t xml:space="preserve"> 最高学位的毕业证明及原件（需公证）；</w:t>
      </w:r>
    </w:p>
    <w:p>
      <w:pPr>
        <w:numPr>
          <w:ilvl w:val="0"/>
          <w:numId w:val="4"/>
        </w:numPr>
        <w:spacing w:line="360" w:lineRule="auto"/>
        <w:ind w:firstLine="240" w:firstLineChars="100"/>
        <w:rPr>
          <w:rFonts w:ascii="宋体" w:hAnsi="宋体" w:cs="宋体"/>
          <w:sz w:val="24"/>
        </w:rPr>
      </w:pPr>
      <w:r>
        <w:rPr>
          <w:rFonts w:hint="eastAsia" w:ascii="宋体" w:hAnsi="宋体" w:cs="宋体"/>
          <w:sz w:val="24"/>
        </w:rPr>
        <w:t xml:space="preserve"> 照片、护照扫描件；</w:t>
      </w:r>
    </w:p>
    <w:p>
      <w:pPr>
        <w:numPr>
          <w:ilvl w:val="0"/>
          <w:numId w:val="4"/>
        </w:numPr>
        <w:spacing w:line="360" w:lineRule="auto"/>
        <w:ind w:firstLine="240" w:firstLineChars="100"/>
        <w:rPr>
          <w:rFonts w:ascii="宋体" w:hAnsi="宋体" w:cs="宋体"/>
          <w:sz w:val="24"/>
        </w:rPr>
      </w:pPr>
      <w:r>
        <w:rPr>
          <w:rFonts w:hint="eastAsia" w:ascii="宋体" w:hAnsi="宋体" w:cs="宋体"/>
          <w:sz w:val="24"/>
        </w:rPr>
        <w:t xml:space="preserve"> 外国人体检表；</w:t>
      </w:r>
    </w:p>
    <w:p>
      <w:pPr>
        <w:numPr>
          <w:ilvl w:val="0"/>
          <w:numId w:val="4"/>
        </w:numPr>
        <w:spacing w:line="360" w:lineRule="auto"/>
        <w:ind w:firstLine="240" w:firstLineChars="100"/>
        <w:rPr>
          <w:rFonts w:ascii="宋体" w:hAnsi="宋体" w:cs="宋体"/>
          <w:color w:val="333333"/>
          <w:spacing w:val="30"/>
          <w:sz w:val="24"/>
          <w:shd w:val="clear" w:color="auto" w:fill="FFFFFF"/>
        </w:rPr>
      </w:pPr>
      <w:r>
        <w:rPr>
          <w:rFonts w:hint="eastAsia" w:ascii="宋体" w:hAnsi="宋体" w:cs="宋体"/>
          <w:sz w:val="24"/>
        </w:rPr>
        <w:t>无犯罪记录证明；</w:t>
      </w:r>
    </w:p>
    <w:p>
      <w:pPr>
        <w:numPr>
          <w:ilvl w:val="0"/>
          <w:numId w:val="4"/>
        </w:numPr>
        <w:spacing w:line="360" w:lineRule="auto"/>
        <w:ind w:firstLine="240" w:firstLineChars="100"/>
        <w:rPr>
          <w:rFonts w:ascii="宋体" w:hAnsi="宋体" w:cs="宋体"/>
          <w:color w:val="333333"/>
          <w:spacing w:val="30"/>
          <w:sz w:val="24"/>
          <w:shd w:val="clear" w:color="auto" w:fill="FFFFFF"/>
        </w:rPr>
      </w:pPr>
      <w:r>
        <w:rPr>
          <w:rFonts w:hint="eastAsia" w:ascii="宋体" w:hAnsi="宋体" w:cs="宋体"/>
          <w:sz w:val="24"/>
        </w:rPr>
        <w:t>HSK水平证书（HSK 5级（含）以上或具备同等语言水平）；</w:t>
      </w:r>
    </w:p>
    <w:p>
      <w:pPr>
        <w:numPr>
          <w:ilvl w:val="0"/>
          <w:numId w:val="4"/>
        </w:numPr>
        <w:spacing w:line="360" w:lineRule="auto"/>
        <w:ind w:firstLine="240" w:firstLineChars="100"/>
        <w:rPr>
          <w:rFonts w:ascii="宋体" w:hAnsi="宋体" w:cs="宋体"/>
          <w:color w:val="333333"/>
          <w:spacing w:val="30"/>
          <w:sz w:val="24"/>
          <w:shd w:val="clear" w:color="auto" w:fill="FFFFFF"/>
        </w:rPr>
      </w:pPr>
      <w:r>
        <w:rPr>
          <w:rFonts w:hint="eastAsia" w:ascii="宋体" w:hAnsi="宋体" w:cs="宋体"/>
          <w:sz w:val="24"/>
        </w:rPr>
        <w:t>学术出版物、专利和其他学术成果的原件或扫描件（如有）。</w:t>
      </w:r>
    </w:p>
    <w:p>
      <w:pPr>
        <w:spacing w:line="360" w:lineRule="auto"/>
        <w:ind w:firstLine="300" w:firstLineChars="100"/>
        <w:rPr>
          <w:rFonts w:ascii="宋体" w:hAnsi="宋体" w:cs="宋体"/>
          <w:color w:val="FF0000"/>
          <w:spacing w:val="30"/>
          <w:sz w:val="24"/>
          <w:shd w:val="clear" w:color="auto" w:fill="FFFFFF"/>
        </w:rPr>
      </w:pPr>
      <w:r>
        <w:rPr>
          <w:rFonts w:hint="eastAsia" w:ascii="宋体" w:hAnsi="宋体" w:cs="宋体"/>
          <w:color w:val="FF0000"/>
          <w:spacing w:val="30"/>
          <w:sz w:val="24"/>
          <w:shd w:val="clear" w:color="auto" w:fill="FFFFFF"/>
        </w:rPr>
        <w:t>注:申请材料副本不强制发送至北京化工大学。</w:t>
      </w:r>
    </w:p>
    <w:p>
      <w:pPr>
        <w:spacing w:line="360" w:lineRule="auto"/>
        <w:rPr>
          <w:rFonts w:hint="eastAsia" w:ascii="宋体" w:hAnsi="宋体" w:cs="宋体"/>
          <w:sz w:val="24"/>
        </w:rPr>
      </w:pPr>
      <w:r>
        <w:rPr>
          <w:rFonts w:hint="eastAsia" w:ascii="宋体" w:hAnsi="宋体" w:cs="宋体"/>
          <w:sz w:val="24"/>
        </w:rPr>
        <w:t xml:space="preserve"> </w:t>
      </w:r>
    </w:p>
    <w:p>
      <w:pPr>
        <w:numPr>
          <w:ilvl w:val="0"/>
          <w:numId w:val="5"/>
        </w:numPr>
        <w:spacing w:line="360" w:lineRule="auto"/>
        <w:rPr>
          <w:rFonts w:ascii="宋体" w:hAnsi="宋体" w:cs="宋体"/>
          <w:b/>
          <w:sz w:val="24"/>
        </w:rPr>
      </w:pPr>
      <w:bookmarkStart w:id="1" w:name="_GoBack"/>
      <w:bookmarkEnd w:id="1"/>
      <w:r>
        <w:rPr>
          <w:rFonts w:hint="eastAsia" w:ascii="宋体" w:hAnsi="宋体" w:cs="宋体"/>
          <w:b/>
          <w:sz w:val="24"/>
        </w:rPr>
        <w:t>奖学金</w:t>
      </w:r>
    </w:p>
    <w:p>
      <w:pPr>
        <w:spacing w:line="360" w:lineRule="auto"/>
        <w:rPr>
          <w:rFonts w:ascii="宋体" w:hAnsi="宋体" w:cs="宋体"/>
          <w:b/>
          <w:bCs/>
          <w:sz w:val="24"/>
        </w:rPr>
      </w:pPr>
      <w:r>
        <w:rPr>
          <w:rFonts w:hint="eastAsia" w:ascii="宋体" w:hAnsi="宋体" w:cs="宋体"/>
          <w:b/>
          <w:bCs/>
          <w:sz w:val="24"/>
        </w:rPr>
        <w:t>1. 中国政府奖学金（CSC奖学金A类）</w:t>
      </w:r>
    </w:p>
    <w:p>
      <w:pPr>
        <w:spacing w:line="360" w:lineRule="auto"/>
        <w:rPr>
          <w:rFonts w:ascii="宋体" w:hAnsi="宋体" w:cs="宋体"/>
          <w:sz w:val="24"/>
        </w:rPr>
      </w:pPr>
      <w:r>
        <w:rPr>
          <w:rFonts w:hint="eastAsia" w:ascii="宋体" w:hAnsi="宋体" w:cs="宋体"/>
          <w:sz w:val="24"/>
        </w:rPr>
        <w:t>奖学金包括哪些内容?</w:t>
      </w:r>
    </w:p>
    <w:p>
      <w:pPr>
        <w:spacing w:line="360" w:lineRule="auto"/>
        <w:rPr>
          <w:rStyle w:val="11"/>
          <w:rFonts w:ascii="宋体" w:hAnsi="宋体" w:cs="宋体"/>
          <w:b w:val="0"/>
          <w:bCs/>
          <w:color w:val="333333"/>
          <w:spacing w:val="30"/>
          <w:sz w:val="24"/>
        </w:rPr>
      </w:pPr>
      <w:r>
        <w:rPr>
          <w:rStyle w:val="11"/>
          <w:rFonts w:hint="eastAsia" w:ascii="宋体" w:hAnsi="宋体" w:cs="宋体"/>
          <w:b w:val="0"/>
          <w:bCs/>
          <w:color w:val="333333"/>
          <w:spacing w:val="30"/>
          <w:sz w:val="24"/>
        </w:rPr>
        <w:t>1)学费和住宿费;</w:t>
      </w:r>
    </w:p>
    <w:p>
      <w:pPr>
        <w:spacing w:line="360" w:lineRule="auto"/>
        <w:rPr>
          <w:rStyle w:val="11"/>
          <w:rFonts w:ascii="宋体" w:hAnsi="宋体" w:cs="宋体"/>
          <w:b w:val="0"/>
          <w:bCs/>
          <w:color w:val="333333"/>
          <w:spacing w:val="30"/>
          <w:sz w:val="24"/>
        </w:rPr>
      </w:pPr>
      <w:r>
        <w:rPr>
          <w:rStyle w:val="11"/>
          <w:rFonts w:hint="eastAsia" w:ascii="宋体" w:hAnsi="宋体" w:cs="宋体"/>
          <w:b w:val="0"/>
          <w:bCs/>
          <w:color w:val="333333"/>
          <w:spacing w:val="30"/>
          <w:sz w:val="24"/>
        </w:rPr>
        <w:t>2)生活费2500元/月;</w:t>
      </w:r>
    </w:p>
    <w:p>
      <w:pPr>
        <w:spacing w:line="360" w:lineRule="auto"/>
        <w:rPr>
          <w:rStyle w:val="11"/>
          <w:rFonts w:ascii="宋体" w:hAnsi="宋体" w:cs="宋体"/>
          <w:b w:val="0"/>
          <w:bCs/>
          <w:color w:val="333333"/>
          <w:spacing w:val="30"/>
          <w:sz w:val="24"/>
        </w:rPr>
      </w:pPr>
      <w:r>
        <w:rPr>
          <w:rStyle w:val="11"/>
          <w:rFonts w:hint="eastAsia" w:ascii="宋体" w:hAnsi="宋体" w:cs="宋体"/>
          <w:b w:val="0"/>
          <w:bCs/>
          <w:color w:val="333333"/>
          <w:spacing w:val="30"/>
          <w:sz w:val="24"/>
        </w:rPr>
        <w:t>3)综合医疗保险800元/人/年；</w:t>
      </w:r>
    </w:p>
    <w:p>
      <w:pPr>
        <w:spacing w:line="360" w:lineRule="auto"/>
        <w:rPr>
          <w:rFonts w:ascii="宋体" w:hAnsi="宋体" w:cs="宋体"/>
          <w:sz w:val="24"/>
        </w:rPr>
      </w:pPr>
      <w:r>
        <w:rPr>
          <w:rFonts w:hint="eastAsia" w:ascii="宋体" w:hAnsi="宋体" w:cs="宋体"/>
          <w:sz w:val="24"/>
        </w:rPr>
        <w:t>2怎么申请？</w:t>
      </w:r>
    </w:p>
    <w:p>
      <w:pPr>
        <w:numPr>
          <w:ilvl w:val="0"/>
          <w:numId w:val="6"/>
        </w:numPr>
        <w:spacing w:line="360" w:lineRule="auto"/>
        <w:rPr>
          <w:rFonts w:ascii="宋体" w:hAnsi="宋体" w:cs="宋体"/>
          <w:sz w:val="24"/>
        </w:rPr>
      </w:pPr>
      <w:r>
        <w:rPr>
          <w:rFonts w:hint="eastAsia" w:ascii="宋体" w:hAnsi="宋体" w:cs="宋体"/>
          <w:sz w:val="24"/>
        </w:rPr>
        <w:t>通过中国驻国使领馆或教育部申请(推荐申请方式)</w:t>
      </w:r>
    </w:p>
    <w:p>
      <w:pPr>
        <w:spacing w:line="360" w:lineRule="auto"/>
        <w:rPr>
          <w:rFonts w:ascii="宋体" w:hAnsi="宋体" w:cs="宋体"/>
          <w:color w:val="FF0000"/>
          <w:sz w:val="24"/>
        </w:rPr>
      </w:pPr>
      <w:r>
        <w:rPr>
          <w:rFonts w:hint="eastAsia" w:ascii="宋体" w:hAnsi="宋体" w:cs="宋体"/>
          <w:color w:val="FF0000"/>
          <w:sz w:val="24"/>
        </w:rPr>
        <w:t>注意:CSC申请通常在每年1月开始，但更具体的申请日期请联系相应的机构(大使馆或外交部)。</w:t>
      </w:r>
    </w:p>
    <w:p>
      <w:pPr>
        <w:spacing w:line="360" w:lineRule="auto"/>
        <w:rPr>
          <w:rStyle w:val="11"/>
          <w:rFonts w:ascii="宋体" w:hAnsi="宋体" w:cs="宋体"/>
          <w:b w:val="0"/>
          <w:bCs/>
          <w:color w:val="333333"/>
          <w:spacing w:val="30"/>
          <w:sz w:val="24"/>
        </w:rPr>
      </w:pPr>
    </w:p>
    <w:p>
      <w:pPr>
        <w:spacing w:line="360" w:lineRule="auto"/>
        <w:rPr>
          <w:rFonts w:ascii="宋体" w:hAnsi="宋体" w:cs="宋体"/>
          <w:b/>
          <w:bCs/>
          <w:sz w:val="24"/>
        </w:rPr>
      </w:pPr>
      <w:r>
        <w:rPr>
          <w:rFonts w:hint="eastAsia" w:ascii="宋体" w:hAnsi="宋体" w:cs="宋体"/>
          <w:b/>
          <w:bCs/>
          <w:sz w:val="24"/>
        </w:rPr>
        <w:t>2.北京市政府奖学金</w:t>
      </w:r>
    </w:p>
    <w:p>
      <w:pPr>
        <w:spacing w:line="360" w:lineRule="auto"/>
        <w:rPr>
          <w:rFonts w:ascii="宋体" w:hAnsi="宋体" w:cs="宋体"/>
          <w:sz w:val="24"/>
        </w:rPr>
      </w:pPr>
      <w:r>
        <w:rPr>
          <w:rFonts w:hint="eastAsia" w:ascii="宋体" w:hAnsi="宋体" w:cs="宋体"/>
          <w:sz w:val="24"/>
        </w:rPr>
        <w:t>奖学金包括哪些内容?</w:t>
      </w:r>
    </w:p>
    <w:p>
      <w:pPr>
        <w:spacing w:line="360" w:lineRule="auto"/>
        <w:rPr>
          <w:rFonts w:ascii="宋体" w:hAnsi="宋体" w:cs="宋体"/>
          <w:sz w:val="24"/>
        </w:rPr>
      </w:pPr>
      <w:r>
        <w:rPr>
          <w:rFonts w:hint="eastAsia" w:ascii="宋体" w:hAnsi="宋体" w:cs="宋体"/>
          <w:sz w:val="24"/>
        </w:rPr>
        <w:t>1年/半年学费(每年审核)</w:t>
      </w:r>
    </w:p>
    <w:p>
      <w:pPr>
        <w:spacing w:line="360" w:lineRule="auto"/>
        <w:rPr>
          <w:rFonts w:ascii="宋体" w:hAnsi="宋体" w:cs="宋体"/>
          <w:sz w:val="24"/>
        </w:rPr>
      </w:pPr>
      <w:r>
        <w:rPr>
          <w:rFonts w:hint="eastAsia" w:ascii="宋体" w:hAnsi="宋体" w:cs="宋体"/>
          <w:sz w:val="24"/>
        </w:rPr>
        <w:t>怎么申请？</w:t>
      </w:r>
    </w:p>
    <w:p>
      <w:pPr>
        <w:spacing w:line="360" w:lineRule="auto"/>
        <w:rPr>
          <w:rFonts w:ascii="宋体" w:hAnsi="宋体" w:cs="宋体"/>
          <w:sz w:val="24"/>
        </w:rPr>
      </w:pPr>
      <w:r>
        <w:rPr>
          <w:rFonts w:hint="eastAsia" w:ascii="宋体" w:hAnsi="宋体" w:cs="宋体"/>
          <w:sz w:val="24"/>
        </w:rPr>
        <w:t>在</w:t>
      </w:r>
      <w:r>
        <w:fldChar w:fldCharType="begin"/>
      </w:r>
      <w:r>
        <w:instrText xml:space="preserve"> HYPERLINK "http://study.buct.edu.cn" </w:instrText>
      </w:r>
      <w:r>
        <w:fldChar w:fldCharType="separate"/>
      </w:r>
      <w:r>
        <w:rPr>
          <w:rFonts w:ascii="Times New Roman" w:hAnsi="Times New Roman"/>
          <w:sz w:val="24"/>
        </w:rPr>
        <w:t>http://study.buct.edu.cn</w:t>
      </w:r>
      <w:r>
        <w:rPr>
          <w:rFonts w:ascii="Times New Roman" w:hAnsi="Times New Roman"/>
          <w:sz w:val="24"/>
        </w:rPr>
        <w:fldChar w:fldCharType="end"/>
      </w:r>
      <w:r>
        <w:rPr>
          <w:rFonts w:hint="eastAsia" w:ascii="宋体" w:hAnsi="宋体" w:cs="宋体"/>
          <w:sz w:val="24"/>
        </w:rPr>
        <w:t>注册账号并激活，在线填写申请表，国际教育学院将根据申请材料组织评估。</w:t>
      </w:r>
    </w:p>
    <w:p>
      <w:pPr>
        <w:spacing w:line="360" w:lineRule="auto"/>
        <w:rPr>
          <w:rFonts w:ascii="宋体" w:hAnsi="宋体" w:cs="宋体"/>
          <w:b/>
          <w:bCs/>
          <w:color w:val="333333"/>
          <w:spacing w:val="30"/>
          <w:sz w:val="24"/>
        </w:rPr>
      </w:pPr>
    </w:p>
    <w:p>
      <w:pPr>
        <w:numPr>
          <w:ilvl w:val="0"/>
          <w:numId w:val="7"/>
        </w:numPr>
        <w:spacing w:line="360" w:lineRule="auto"/>
        <w:jc w:val="left"/>
        <w:rPr>
          <w:rFonts w:ascii="宋体" w:hAnsi="宋体" w:cs="宋体"/>
          <w:b/>
          <w:sz w:val="24"/>
        </w:rPr>
      </w:pPr>
      <w:r>
        <w:rPr>
          <w:rFonts w:hint="eastAsia" w:ascii="宋体" w:hAnsi="宋体" w:cs="宋体"/>
          <w:b/>
          <w:sz w:val="24"/>
        </w:rPr>
        <w:t xml:space="preserve">联系方式 </w:t>
      </w:r>
    </w:p>
    <w:p>
      <w:pPr>
        <w:pStyle w:val="6"/>
        <w:widowControl/>
        <w:jc w:val="both"/>
        <w:rPr>
          <w:rFonts w:ascii="宋体" w:hAnsi="宋体" w:cs="宋体"/>
        </w:rPr>
      </w:pPr>
      <w:r>
        <w:rPr>
          <w:rFonts w:hint="eastAsia" w:ascii="宋体" w:hAnsi="宋体" w:cs="宋体"/>
        </w:rPr>
        <w:t>国际教育学院留学生办公室</w:t>
      </w:r>
    </w:p>
    <w:p>
      <w:pPr>
        <w:pStyle w:val="6"/>
        <w:widowControl/>
        <w:jc w:val="both"/>
        <w:rPr>
          <w:rFonts w:ascii="宋体" w:hAnsi="宋体" w:cs="宋体"/>
        </w:rPr>
      </w:pPr>
      <w:r>
        <w:rPr>
          <w:rFonts w:hint="eastAsia" w:ascii="宋体" w:hAnsi="宋体" w:cs="宋体"/>
        </w:rPr>
        <w:t>北京化工大学</w:t>
      </w:r>
    </w:p>
    <w:p>
      <w:pPr>
        <w:pStyle w:val="6"/>
        <w:widowControl/>
        <w:jc w:val="both"/>
        <w:rPr>
          <w:rFonts w:ascii="宋体" w:hAnsi="宋体" w:cs="宋体"/>
        </w:rPr>
      </w:pPr>
      <w:r>
        <w:rPr>
          <w:rFonts w:hint="eastAsia" w:ascii="宋体" w:hAnsi="宋体" w:cs="宋体"/>
        </w:rPr>
        <w:t>北京市朝阳区北三环东路15号，邮编100029</w:t>
      </w:r>
    </w:p>
    <w:p>
      <w:pPr>
        <w:pStyle w:val="6"/>
        <w:widowControl/>
        <w:jc w:val="both"/>
        <w:rPr>
          <w:rFonts w:ascii="宋体" w:hAnsi="宋体" w:cs="宋体"/>
        </w:rPr>
      </w:pPr>
      <w:r>
        <w:rPr>
          <w:rFonts w:hint="eastAsia" w:ascii="宋体" w:hAnsi="宋体" w:cs="宋体"/>
        </w:rPr>
        <w:t>电话:0086-10-64452461</w:t>
      </w:r>
    </w:p>
    <w:p>
      <w:pPr>
        <w:pStyle w:val="6"/>
        <w:widowControl/>
        <w:jc w:val="both"/>
        <w:rPr>
          <w:rFonts w:ascii="宋体" w:hAnsi="宋体" w:cs="宋体"/>
        </w:rPr>
      </w:pPr>
      <w:r>
        <w:rPr>
          <w:rFonts w:hint="eastAsia" w:ascii="宋体" w:hAnsi="宋体" w:cs="宋体"/>
        </w:rPr>
        <w:t>电子邮件:buctapply@buct.edu.cn</w:t>
      </w:r>
    </w:p>
    <w:p>
      <w:pPr>
        <w:pStyle w:val="6"/>
        <w:widowControl/>
        <w:jc w:val="both"/>
        <w:rPr>
          <w:rFonts w:ascii="宋体" w:hAnsi="宋体" w:cs="宋体"/>
        </w:rPr>
      </w:pPr>
      <w:r>
        <w:rPr>
          <w:rFonts w:hint="eastAsia" w:ascii="宋体" w:hAnsi="宋体" w:cs="宋体"/>
        </w:rPr>
        <w:t xml:space="preserve">网站: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"https://en-sie.buct.edu.cn/3873/list.htm" </w:instrText>
      </w:r>
      <w:r>
        <w:rPr>
          <w:rFonts w:hint="default" w:ascii="Times New Roman" w:hAnsi="Times New Roman" w:cs="Times New Roman"/>
          <w:sz w:val="24"/>
          <w:szCs w:val="24"/>
        </w:rPr>
        <w:fldChar w:fldCharType="separate"/>
      </w:r>
      <w:r>
        <w:rPr>
          <w:rStyle w:val="12"/>
          <w:rFonts w:hint="default" w:ascii="Times New Roman" w:hAnsi="Times New Roman" w:cs="Times New Roman"/>
          <w:sz w:val="24"/>
          <w:szCs w:val="24"/>
        </w:rPr>
        <w:t>https://en-sie.buct.edu.cn</w:t>
      </w:r>
      <w:r>
        <w:rPr>
          <w:rStyle w:val="12"/>
          <w:rFonts w:hint="default" w:ascii="Times New Roman" w:hAnsi="Times New Roman" w:cs="Times New Roman"/>
          <w:sz w:val="24"/>
          <w:szCs w:val="24"/>
        </w:rPr>
        <w:fldChar w:fldCharType="end"/>
      </w:r>
      <w:r>
        <w:rPr>
          <w:rStyle w:val="12"/>
          <w:rFonts w:hint="eastAsia" w:ascii="Times New Roman" w:hAnsi="Times New Roman" w:cs="Times New Roman"/>
          <w:sz w:val="24"/>
          <w:szCs w:val="24"/>
          <w:lang w:val="en-US" w:eastAsia="zh-CN"/>
        </w:rPr>
        <w:t xml:space="preserve"> 英文版</w:t>
      </w:r>
      <w:r>
        <w:rPr>
          <w:rFonts w:hint="eastAsia" w:ascii="宋体" w:hAnsi="宋体" w:cs="宋体"/>
        </w:rPr>
        <w:t xml:space="preserve">   </w:t>
      </w:r>
    </w:p>
    <w:p>
      <w:pPr>
        <w:pStyle w:val="6"/>
        <w:widowControl/>
        <w:jc w:val="both"/>
        <w:rPr>
          <w:rFonts w:ascii="Times New Roman" w:hAnsi="Times New Roman"/>
          <w:color w:val="000000"/>
          <w:lang w:val="fr-FR"/>
        </w:rPr>
      </w:pPr>
      <w:r>
        <w:rPr>
          <w:rFonts w:hint="eastAsia" w:ascii="宋体" w:hAnsi="宋体" w:cs="宋体"/>
        </w:rPr>
        <w:t xml:space="preserve">Facebook: </w:t>
      </w:r>
      <w:r>
        <w:rPr>
          <w:rFonts w:ascii="Times New Roman" w:hAnsi="Times New Roman"/>
          <w:color w:val="000000"/>
          <w:lang w:val="fr-FR"/>
        </w:rPr>
        <w:fldChar w:fldCharType="begin"/>
      </w:r>
      <w:r>
        <w:rPr>
          <w:rFonts w:ascii="Times New Roman" w:hAnsi="Times New Roman"/>
          <w:color w:val="000000"/>
          <w:lang w:val="fr-FR"/>
        </w:rPr>
        <w:instrText xml:space="preserve"> HYPERLINK "https://www.facebook.com/groups/buctapplication" </w:instrText>
      </w:r>
      <w:r>
        <w:rPr>
          <w:rFonts w:ascii="Times New Roman" w:hAnsi="Times New Roman"/>
          <w:color w:val="000000"/>
          <w:lang w:val="fr-FR"/>
        </w:rPr>
        <w:fldChar w:fldCharType="separate"/>
      </w:r>
      <w:r>
        <w:rPr>
          <w:rStyle w:val="12"/>
          <w:rFonts w:ascii="Times New Roman" w:hAnsi="Times New Roman"/>
          <w:color w:val="000000"/>
          <w:lang w:val="fr-FR"/>
        </w:rPr>
        <w:t>https://www.facebook.com/groups/buctapplication</w:t>
      </w:r>
      <w:r>
        <w:rPr>
          <w:rFonts w:ascii="Times New Roman" w:hAnsi="Times New Roman"/>
          <w:color w:val="000000"/>
          <w:lang w:val="fr-FR"/>
        </w:rPr>
        <w:fldChar w:fldCharType="end"/>
      </w: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p>
    <w:p>
      <w:pPr>
        <w:pStyle w:val="6"/>
        <w:widowControl/>
        <w:jc w:val="both"/>
        <w:rPr>
          <w:rFonts w:ascii="Times New Roman" w:hAnsi="Times New Roman"/>
          <w:color w:val="000000"/>
          <w:lang w:val="fr-FR"/>
        </w:rPr>
      </w:pPr>
      <w:r>
        <w:rPr>
          <w:rFonts w:hint="eastAsia" w:ascii="宋体" w:hAnsi="宋体" w:cs="宋体"/>
          <w:sz w:val="24"/>
        </w:rPr>
        <w:drawing>
          <wp:anchor distT="0" distB="0" distL="114300" distR="114300" simplePos="0" relativeHeight="251662336" behindDoc="0" locked="0" layoutInCell="1" allowOverlap="1">
            <wp:simplePos x="0" y="0"/>
            <wp:positionH relativeFrom="column">
              <wp:posOffset>1856740</wp:posOffset>
            </wp:positionH>
            <wp:positionV relativeFrom="paragraph">
              <wp:posOffset>34290</wp:posOffset>
            </wp:positionV>
            <wp:extent cx="2665730" cy="759460"/>
            <wp:effectExtent l="0" t="0" r="1270" b="2540"/>
            <wp:wrapNone/>
            <wp:docPr id="5"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logo"/>
                    <pic:cNvPicPr>
                      <a:picLocks noChangeAspect="1"/>
                    </pic:cNvPicPr>
                  </pic:nvPicPr>
                  <pic:blipFill>
                    <a:blip r:embed="rId5"/>
                    <a:stretch>
                      <a:fillRect/>
                    </a:stretch>
                  </pic:blipFill>
                  <pic:spPr>
                    <a:xfrm>
                      <a:off x="0" y="0"/>
                      <a:ext cx="2665730" cy="759460"/>
                    </a:xfrm>
                    <a:prstGeom prst="rect">
                      <a:avLst/>
                    </a:prstGeom>
                    <a:noFill/>
                    <a:ln>
                      <a:noFill/>
                    </a:ln>
                  </pic:spPr>
                </pic:pic>
              </a:graphicData>
            </a:graphic>
          </wp:anchor>
        </w:drawing>
      </w:r>
      <w:r>
        <w:rPr>
          <w:rFonts w:hint="eastAsia" w:ascii="宋体" w:hAnsi="宋体" w:cs="宋体"/>
          <w:sz w:val="24"/>
        </w:rPr>
        <w:drawing>
          <wp:anchor distT="0" distB="0" distL="114300" distR="114300" simplePos="0" relativeHeight="251661312" behindDoc="0" locked="0" layoutInCell="1" allowOverlap="1">
            <wp:simplePos x="0" y="0"/>
            <wp:positionH relativeFrom="column">
              <wp:posOffset>924560</wp:posOffset>
            </wp:positionH>
            <wp:positionV relativeFrom="paragraph">
              <wp:posOffset>143510</wp:posOffset>
            </wp:positionV>
            <wp:extent cx="681990" cy="681990"/>
            <wp:effectExtent l="0" t="0" r="3810" b="3810"/>
            <wp:wrapNone/>
            <wp:docPr id="4" name="Picture 6" descr="xx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xxbs3"/>
                    <pic:cNvPicPr>
                      <a:picLocks noChangeAspect="1"/>
                    </pic:cNvPicPr>
                  </pic:nvPicPr>
                  <pic:blipFill>
                    <a:blip r:embed="rId4"/>
                    <a:stretch>
                      <a:fillRect/>
                    </a:stretch>
                  </pic:blipFill>
                  <pic:spPr>
                    <a:xfrm>
                      <a:off x="0" y="0"/>
                      <a:ext cx="681990" cy="681990"/>
                    </a:xfrm>
                    <a:prstGeom prst="rect">
                      <a:avLst/>
                    </a:prstGeom>
                    <a:noFill/>
                    <a:ln>
                      <a:noFill/>
                    </a:ln>
                  </pic:spPr>
                </pic:pic>
              </a:graphicData>
            </a:graphic>
          </wp:anchor>
        </w:drawing>
      </w:r>
    </w:p>
    <w:p>
      <w:pPr>
        <w:pStyle w:val="6"/>
        <w:widowControl/>
        <w:spacing w:line="360" w:lineRule="auto"/>
        <w:ind w:left="210" w:leftChars="100" w:firstLine="1506" w:firstLineChars="500"/>
        <w:jc w:val="both"/>
        <w:rPr>
          <w:rFonts w:ascii="Times New Roman" w:hAnsi="Times New Roman"/>
          <w:b/>
          <w:bCs/>
          <w:sz w:val="30"/>
          <w:szCs w:val="30"/>
        </w:rPr>
      </w:pPr>
    </w:p>
    <w:p>
      <w:pPr>
        <w:pStyle w:val="6"/>
        <w:widowControl/>
        <w:spacing w:line="360" w:lineRule="auto"/>
        <w:ind w:left="210" w:leftChars="100" w:firstLine="1506" w:firstLineChars="500"/>
        <w:jc w:val="both"/>
        <w:rPr>
          <w:rFonts w:ascii="Times New Roman" w:hAnsi="Times New Roman"/>
          <w:b/>
          <w:bCs/>
          <w:sz w:val="30"/>
          <w:szCs w:val="30"/>
        </w:rPr>
      </w:pPr>
      <w:r>
        <w:rPr>
          <w:rFonts w:ascii="Times New Roman" w:hAnsi="Times New Roman"/>
          <w:b/>
          <w:bCs/>
          <w:sz w:val="30"/>
          <w:szCs w:val="30"/>
        </w:rPr>
        <w:t>Beijing University of Chemical Technology</w:t>
      </w:r>
    </w:p>
    <w:p>
      <w:pPr>
        <w:pStyle w:val="6"/>
        <w:widowControl/>
        <w:spacing w:line="360" w:lineRule="auto"/>
        <w:ind w:firstLine="1807" w:firstLineChars="600"/>
        <w:jc w:val="both"/>
        <w:rPr>
          <w:rFonts w:ascii="Times New Roman" w:hAnsi="Times New Roman"/>
          <w:sz w:val="30"/>
          <w:szCs w:val="30"/>
        </w:rPr>
      </w:pPr>
      <w:r>
        <w:rPr>
          <w:rFonts w:ascii="Times New Roman" w:hAnsi="Times New Roman"/>
          <w:b/>
          <w:bCs/>
          <w:sz w:val="30"/>
          <w:szCs w:val="30"/>
        </w:rPr>
        <w:t>202</w:t>
      </w:r>
      <w:r>
        <w:rPr>
          <w:rFonts w:hint="eastAsia" w:ascii="Times New Roman" w:hAnsi="Times New Roman"/>
          <w:b/>
          <w:bCs/>
          <w:sz w:val="30"/>
          <w:szCs w:val="30"/>
        </w:rPr>
        <w:t>4</w:t>
      </w:r>
      <w:r>
        <w:rPr>
          <w:rFonts w:ascii="Times New Roman" w:hAnsi="Times New Roman"/>
          <w:b/>
          <w:bCs/>
          <w:sz w:val="30"/>
          <w:szCs w:val="30"/>
        </w:rPr>
        <w:t xml:space="preserve"> Admission for Bachelor Program</w:t>
      </w:r>
    </w:p>
    <w:p>
      <w:pPr>
        <w:spacing w:line="360" w:lineRule="auto"/>
        <w:rPr>
          <w:rFonts w:ascii="Times New Roman" w:hAnsi="Times New Roman"/>
          <w:sz w:val="24"/>
        </w:rPr>
      </w:pPr>
      <w:r>
        <w:rPr>
          <w:rFonts w:ascii="Times New Roman" w:hAnsi="Times New Roman"/>
          <w:sz w:val="24"/>
        </w:rPr>
        <w:t>Founded in 1958 and formerly known as Beijing Institute of Chemical Technology, Beijing University of Chemical Technology (BUCT) is a national key university directly affiliated to Ministry of Education of China,</w:t>
      </w:r>
      <w:r>
        <w:rPr>
          <w:rFonts w:hint="eastAsia" w:ascii="Times New Roman" w:hAnsi="Times New Roman"/>
          <w:sz w:val="24"/>
        </w:rPr>
        <w:t xml:space="preserve"> </w:t>
      </w:r>
      <w:r>
        <w:rPr>
          <w:rFonts w:ascii="Times New Roman" w:hAnsi="Times New Roman"/>
          <w:sz w:val="24"/>
        </w:rPr>
        <w:t>one of the Project 211 universities and 985 Project Innovation Platforms. BUCT shoulders the mission of innovative talent education, scientific research, and high-tech development.</w:t>
      </w:r>
    </w:p>
    <w:p>
      <w:pPr>
        <w:spacing w:line="360" w:lineRule="auto"/>
        <w:rPr>
          <w:rFonts w:ascii="Times New Roman" w:hAnsi="Times New Roman"/>
          <w:sz w:val="24"/>
        </w:rPr>
      </w:pPr>
      <w:r>
        <w:rPr>
          <w:rFonts w:ascii="Times New Roman" w:hAnsi="Times New Roman"/>
          <w:sz w:val="24"/>
        </w:rPr>
        <w:t>After 60 years of continuous efforts, BUCT has developed into a multi-disciplinary institute with a solid foundation in science and engineering, along with other distinctive disciplines such as Business Management, Economics, Law, Literature, Philosophy, Education, Medical Science and etc. It has formed a complete talent development system from the undergraduate level, the postgraduate level up to the postdoctoral level. In the ESI rankings, chemistry and material science have entered the top 1‰, the disciplines of material science, engineering, biology and biochemistry top 1%.</w:t>
      </w:r>
      <w:r>
        <w:rPr>
          <w:rFonts w:hint="eastAsia" w:ascii="Times New Roman" w:hAnsi="Times New Roman"/>
          <w:sz w:val="24"/>
        </w:rPr>
        <w:t xml:space="preserve"> </w:t>
      </w:r>
      <w:r>
        <w:rPr>
          <w:rFonts w:ascii="Times New Roman" w:hAnsi="Times New Roman"/>
          <w:sz w:val="24"/>
        </w:rPr>
        <w:t>The primary discipline of Chemical Engineering and Technology ranked the third in China. The BUCT</w:t>
      </w:r>
      <w:r>
        <w:rPr>
          <w:rFonts w:hint="eastAsia" w:ascii="Times New Roman" w:hAnsi="Times New Roman"/>
          <w:sz w:val="24"/>
        </w:rPr>
        <w:t xml:space="preserve"> </w:t>
      </w:r>
      <w:r>
        <w:rPr>
          <w:rFonts w:ascii="Times New Roman" w:hAnsi="Times New Roman"/>
          <w:sz w:val="24"/>
        </w:rPr>
        <w:t>“Green Chemistry, Chemical Engineering and Materials”</w:t>
      </w:r>
      <w:r>
        <w:rPr>
          <w:rFonts w:hint="eastAsia" w:ascii="Times New Roman" w:hAnsi="Times New Roman"/>
          <w:sz w:val="24"/>
        </w:rPr>
        <w:t xml:space="preserve"> </w:t>
      </w:r>
      <w:r>
        <w:rPr>
          <w:rFonts w:ascii="Times New Roman" w:hAnsi="Times New Roman"/>
          <w:sz w:val="24"/>
        </w:rPr>
        <w:t>discipline group was listed as a First-Class Discipline in the Double First-Class Project in 2017.</w:t>
      </w:r>
    </w:p>
    <w:p>
      <w:pPr>
        <w:spacing w:line="360" w:lineRule="auto"/>
        <w:rPr>
          <w:rFonts w:ascii="Times New Roman" w:hAnsi="Times New Roman"/>
          <w:sz w:val="24"/>
        </w:rPr>
      </w:pPr>
      <w:r>
        <w:rPr>
          <w:rFonts w:ascii="Times New Roman" w:hAnsi="Times New Roman"/>
          <w:sz w:val="24"/>
        </w:rPr>
        <w:t xml:space="preserve">BUCT, with a global vision, has successively established academic collaboration with </w:t>
      </w:r>
      <w:r>
        <w:rPr>
          <w:rFonts w:hint="eastAsia" w:ascii="Times New Roman" w:hAnsi="Times New Roman"/>
          <w:sz w:val="24"/>
        </w:rPr>
        <w:t xml:space="preserve">165 </w:t>
      </w:r>
      <w:r>
        <w:rPr>
          <w:rFonts w:ascii="Times New Roman" w:hAnsi="Times New Roman"/>
          <w:sz w:val="24"/>
        </w:rPr>
        <w:t>universities from Asia,</w:t>
      </w:r>
      <w:r>
        <w:rPr>
          <w:rFonts w:hint="eastAsia" w:ascii="Times New Roman" w:hAnsi="Times New Roman"/>
          <w:sz w:val="24"/>
        </w:rPr>
        <w:t xml:space="preserve"> </w:t>
      </w:r>
      <w:r>
        <w:rPr>
          <w:rFonts w:ascii="Times New Roman" w:hAnsi="Times New Roman"/>
          <w:sz w:val="24"/>
        </w:rPr>
        <w:t>Europe,</w:t>
      </w:r>
      <w:r>
        <w:rPr>
          <w:rFonts w:hint="eastAsia" w:ascii="Times New Roman" w:hAnsi="Times New Roman"/>
          <w:sz w:val="24"/>
        </w:rPr>
        <w:t xml:space="preserve"> </w:t>
      </w:r>
      <w:r>
        <w:rPr>
          <w:rFonts w:ascii="Times New Roman" w:hAnsi="Times New Roman"/>
          <w:sz w:val="24"/>
        </w:rPr>
        <w:t>America,</w:t>
      </w:r>
      <w:r>
        <w:rPr>
          <w:rFonts w:hint="eastAsia" w:ascii="Times New Roman" w:hAnsi="Times New Roman"/>
          <w:sz w:val="24"/>
        </w:rPr>
        <w:t xml:space="preserve"> </w:t>
      </w:r>
      <w:r>
        <w:rPr>
          <w:rFonts w:ascii="Times New Roman" w:hAnsi="Times New Roman"/>
          <w:sz w:val="24"/>
        </w:rPr>
        <w:t>Africa,</w:t>
      </w:r>
      <w:r>
        <w:rPr>
          <w:rFonts w:hint="eastAsia" w:ascii="Times New Roman" w:hAnsi="Times New Roman"/>
          <w:sz w:val="24"/>
        </w:rPr>
        <w:t xml:space="preserve"> </w:t>
      </w:r>
      <w:r>
        <w:rPr>
          <w:rFonts w:ascii="Times New Roman" w:hAnsi="Times New Roman"/>
          <w:sz w:val="24"/>
        </w:rPr>
        <w:t>Oceania.</w:t>
      </w:r>
      <w:r>
        <w:rPr>
          <w:rFonts w:hint="eastAsia" w:ascii="Times New Roman" w:hAnsi="Times New Roman"/>
          <w:sz w:val="24"/>
        </w:rPr>
        <w:t xml:space="preserve"> </w:t>
      </w:r>
      <w:r>
        <w:rPr>
          <w:rFonts w:ascii="Times New Roman" w:hAnsi="Times New Roman"/>
          <w:sz w:val="24"/>
        </w:rPr>
        <w:t xml:space="preserve">BUCT is now running more than 86 study-abroad programs. BUCT also offers a wide range of education programs for international students including bachelor’s, master’s and doctoral programs as well as Chinese language and culture programs, exchange programs and summer camps and etc. </w:t>
      </w:r>
    </w:p>
    <w:p>
      <w:pPr>
        <w:spacing w:line="360" w:lineRule="auto"/>
        <w:rPr>
          <w:rFonts w:ascii="Times New Roman" w:hAnsi="Times New Roman"/>
          <w:color w:val="000000"/>
          <w:sz w:val="24"/>
        </w:rPr>
      </w:pPr>
      <w:r>
        <w:rPr>
          <w:rFonts w:ascii="Times New Roman" w:hAnsi="Times New Roman"/>
          <w:sz w:val="24"/>
        </w:rPr>
        <w:t>In the 21st century, which is full of opportunities and challenges, BUCT will continue to hold fast the university motto “to be ambitious, virtuous, profoundly learned, to explore the mysteries of nature,</w:t>
      </w:r>
      <w:r>
        <w:rPr>
          <w:rFonts w:hint="eastAsia" w:ascii="Times New Roman" w:hAnsi="Times New Roman"/>
          <w:sz w:val="24"/>
        </w:rPr>
        <w:t xml:space="preserve"> </w:t>
      </w:r>
      <w:r>
        <w:rPr>
          <w:rFonts w:ascii="Times New Roman" w:hAnsi="Times New Roman"/>
          <w:sz w:val="24"/>
        </w:rPr>
        <w:t xml:space="preserve">strive for better services for human beings” and try its best to develop BUCT into a world class research institution with distinctive characteristics and international </w:t>
      </w:r>
      <w:r>
        <w:rPr>
          <w:rFonts w:ascii="Times New Roman" w:hAnsi="Times New Roman"/>
          <w:color w:val="000000"/>
          <w:sz w:val="24"/>
        </w:rPr>
        <w:t>influence.</w:t>
      </w:r>
    </w:p>
    <w:p>
      <w:pPr>
        <w:pStyle w:val="7"/>
        <w:numPr>
          <w:ilvl w:val="0"/>
          <w:numId w:val="8"/>
        </w:numPr>
        <w:spacing w:before="312" w:beforeLines="100" w:after="120" w:line="360" w:lineRule="auto"/>
        <w:jc w:val="left"/>
        <w:rPr>
          <w:kern w:val="44"/>
          <w:sz w:val="24"/>
        </w:rPr>
      </w:pPr>
      <w:r>
        <w:rPr>
          <w:kern w:val="44"/>
          <w:sz w:val="24"/>
        </w:rPr>
        <w:t>Key Facts on History</w:t>
      </w:r>
    </w:p>
    <w:p>
      <w:pPr>
        <w:spacing w:line="360" w:lineRule="auto"/>
        <w:rPr>
          <w:rFonts w:ascii="Times New Roman" w:hAnsi="Times New Roman"/>
          <w:sz w:val="24"/>
        </w:rPr>
      </w:pPr>
      <w:r>
        <w:rPr>
          <w:rFonts w:ascii="Times New Roman" w:hAnsi="Times New Roman"/>
          <w:sz w:val="24"/>
        </w:rPr>
        <w:t>1958-Beijing Institute of Chemical Technology(BICT) was founded,</w:t>
      </w:r>
      <w:r>
        <w:rPr>
          <w:rFonts w:hint="eastAsia" w:ascii="Times New Roman" w:hAnsi="Times New Roman"/>
          <w:sz w:val="24"/>
        </w:rPr>
        <w:t xml:space="preserve"> </w:t>
      </w:r>
      <w:r>
        <w:rPr>
          <w:rFonts w:ascii="Times New Roman" w:hAnsi="Times New Roman"/>
          <w:sz w:val="24"/>
        </w:rPr>
        <w:t>affiliated to the Ministry of Chemical Industry.</w:t>
      </w:r>
    </w:p>
    <w:p>
      <w:pPr>
        <w:spacing w:line="360" w:lineRule="auto"/>
        <w:rPr>
          <w:rFonts w:ascii="Times New Roman" w:hAnsi="Times New Roman"/>
          <w:sz w:val="24"/>
        </w:rPr>
      </w:pPr>
      <w:r>
        <w:rPr>
          <w:rFonts w:ascii="Times New Roman" w:hAnsi="Times New Roman"/>
          <w:sz w:val="24"/>
        </w:rPr>
        <w:t>1994-Name changed to Beijing University of Chemical Technology.</w:t>
      </w:r>
    </w:p>
    <w:p>
      <w:pPr>
        <w:spacing w:line="360" w:lineRule="auto"/>
        <w:rPr>
          <w:rFonts w:ascii="Times New Roman" w:hAnsi="Times New Roman"/>
          <w:sz w:val="24"/>
        </w:rPr>
      </w:pPr>
      <w:r>
        <w:rPr>
          <w:rFonts w:ascii="Times New Roman" w:hAnsi="Times New Roman"/>
          <w:sz w:val="24"/>
        </w:rPr>
        <w:t>1996-Became one of the first Universities to be in the Project 211(Top 211)</w:t>
      </w:r>
    </w:p>
    <w:p>
      <w:pPr>
        <w:spacing w:line="360" w:lineRule="auto"/>
        <w:rPr>
          <w:rFonts w:ascii="Times New Roman" w:hAnsi="Times New Roman"/>
          <w:sz w:val="24"/>
        </w:rPr>
      </w:pPr>
      <w:r>
        <w:rPr>
          <w:rFonts w:ascii="Times New Roman" w:hAnsi="Times New Roman"/>
          <w:sz w:val="24"/>
        </w:rPr>
        <w:t>1998-Affiliated to the Ministry of Education</w:t>
      </w:r>
    </w:p>
    <w:p>
      <w:pPr>
        <w:spacing w:line="360" w:lineRule="auto"/>
        <w:rPr>
          <w:rFonts w:ascii="Times New Roman" w:hAnsi="Times New Roman"/>
          <w:sz w:val="24"/>
        </w:rPr>
      </w:pPr>
      <w:r>
        <w:rPr>
          <w:rFonts w:ascii="Times New Roman" w:hAnsi="Times New Roman"/>
          <w:sz w:val="24"/>
        </w:rPr>
        <w:t>2008-Became one of the 985 Project Innovation Platforms for Priority.</w:t>
      </w:r>
    </w:p>
    <w:p>
      <w:pPr>
        <w:spacing w:line="360" w:lineRule="auto"/>
        <w:rPr>
          <w:rFonts w:ascii="Times New Roman" w:hAnsi="Times New Roman"/>
          <w:b/>
          <w:bCs/>
          <w:kern w:val="44"/>
          <w:sz w:val="24"/>
        </w:rPr>
      </w:pPr>
      <w:r>
        <w:rPr>
          <w:rFonts w:ascii="Times New Roman" w:hAnsi="Times New Roman"/>
          <w:sz w:val="24"/>
        </w:rPr>
        <w:t>2017-”Green Chemistry,</w:t>
      </w:r>
      <w:r>
        <w:rPr>
          <w:rFonts w:hint="eastAsia" w:ascii="Times New Roman" w:hAnsi="Times New Roman"/>
          <w:sz w:val="24"/>
        </w:rPr>
        <w:t xml:space="preserve"> </w:t>
      </w:r>
      <w:r>
        <w:rPr>
          <w:rFonts w:ascii="Times New Roman" w:hAnsi="Times New Roman"/>
          <w:sz w:val="24"/>
        </w:rPr>
        <w:t>Chemical Engineering and Materials” was listed as First-Class Discipline in Double First -Class Project.</w:t>
      </w:r>
    </w:p>
    <w:p>
      <w:pPr>
        <w:pStyle w:val="7"/>
        <w:numPr>
          <w:ilvl w:val="0"/>
          <w:numId w:val="8"/>
        </w:numPr>
        <w:spacing w:before="312" w:beforeLines="100" w:after="120" w:line="360" w:lineRule="auto"/>
        <w:jc w:val="left"/>
        <w:rPr>
          <w:sz w:val="24"/>
        </w:rPr>
      </w:pPr>
      <w:r>
        <w:rPr>
          <w:rFonts w:hint="eastAsia"/>
          <w:kern w:val="44"/>
          <w:sz w:val="24"/>
        </w:rPr>
        <w:t>B</w:t>
      </w:r>
      <w:r>
        <w:rPr>
          <w:kern w:val="44"/>
          <w:sz w:val="24"/>
        </w:rPr>
        <w:t>UCT</w:t>
      </w:r>
    </w:p>
    <w:p>
      <w:pPr>
        <w:spacing w:line="360" w:lineRule="auto"/>
        <w:rPr>
          <w:rFonts w:ascii="Times New Roman" w:hAnsi="Times New Roman"/>
          <w:sz w:val="24"/>
        </w:rPr>
      </w:pPr>
      <w:r>
        <w:rPr>
          <w:rFonts w:ascii="Times New Roman" w:hAnsi="Times New Roman"/>
          <w:sz w:val="24"/>
        </w:rPr>
        <w:t xml:space="preserve">One of </w:t>
      </w:r>
      <w:r>
        <w:rPr>
          <w:rFonts w:hint="eastAsia" w:ascii="Times New Roman" w:hAnsi="Times New Roman"/>
          <w:sz w:val="24"/>
        </w:rPr>
        <w:t xml:space="preserve"> </w:t>
      </w:r>
      <w:r>
        <w:rPr>
          <w:rFonts w:ascii="Times New Roman" w:hAnsi="Times New Roman"/>
          <w:sz w:val="24"/>
        </w:rPr>
        <w:t>Project 211 universities</w:t>
      </w:r>
    </w:p>
    <w:p>
      <w:pPr>
        <w:spacing w:line="360" w:lineRule="auto"/>
        <w:rPr>
          <w:rFonts w:ascii="Times New Roman" w:hAnsi="Times New Roman"/>
          <w:sz w:val="24"/>
        </w:rPr>
      </w:pPr>
      <w:r>
        <w:rPr>
          <w:rFonts w:ascii="Times New Roman" w:hAnsi="Times New Roman"/>
          <w:sz w:val="24"/>
        </w:rPr>
        <w:t>One of</w:t>
      </w:r>
      <w:r>
        <w:rPr>
          <w:rFonts w:hint="eastAsia" w:ascii="Times New Roman" w:hAnsi="Times New Roman"/>
          <w:sz w:val="24"/>
        </w:rPr>
        <w:t xml:space="preserve"> </w:t>
      </w:r>
      <w:r>
        <w:rPr>
          <w:rFonts w:ascii="Times New Roman" w:hAnsi="Times New Roman"/>
          <w:sz w:val="24"/>
        </w:rPr>
        <w:t xml:space="preserve"> the 985 Project Innovation Platforms</w:t>
      </w:r>
    </w:p>
    <w:p>
      <w:pPr>
        <w:spacing w:line="360" w:lineRule="auto"/>
        <w:rPr>
          <w:rFonts w:ascii="Times New Roman" w:hAnsi="Times New Roman"/>
          <w:color w:val="000000"/>
          <w:sz w:val="24"/>
        </w:rPr>
      </w:pPr>
      <w:r>
        <w:rPr>
          <w:rFonts w:ascii="Times New Roman" w:hAnsi="Times New Roman"/>
          <w:color w:val="000000"/>
          <w:sz w:val="24"/>
        </w:rPr>
        <w:t>Multi-disciplinary-It is a multi-disciplinary university with science and engineering retained as the core disciplines with the addition of arts, the science of law, management and economics.</w:t>
      </w:r>
    </w:p>
    <w:p>
      <w:pPr>
        <w:spacing w:line="360" w:lineRule="auto"/>
        <w:rPr>
          <w:rFonts w:ascii="Times New Roman" w:hAnsi="Times New Roman"/>
          <w:sz w:val="24"/>
        </w:rPr>
      </w:pPr>
      <w:r>
        <w:rPr>
          <w:rFonts w:ascii="Times New Roman" w:hAnsi="Times New Roman"/>
          <w:sz w:val="24"/>
        </w:rPr>
        <w:t xml:space="preserve">First-Class Discipline in the Double First-Class Project in“Green Chemistry,Chemical Engineering and Materials” </w:t>
      </w:r>
    </w:p>
    <w:p>
      <w:pPr>
        <w:spacing w:line="360" w:lineRule="auto"/>
        <w:rPr>
          <w:rFonts w:ascii="Times New Roman" w:hAnsi="Times New Roman"/>
          <w:sz w:val="24"/>
        </w:rPr>
      </w:pPr>
      <w:r>
        <w:rPr>
          <w:rFonts w:hint="eastAsia" w:ascii="Times New Roman" w:hAnsi="Times New Roman"/>
          <w:sz w:val="24"/>
        </w:rPr>
        <w:t>17  Colleges/Schools</w:t>
      </w:r>
    </w:p>
    <w:p>
      <w:pPr>
        <w:spacing w:line="360" w:lineRule="auto"/>
        <w:rPr>
          <w:rFonts w:ascii="Times New Roman" w:hAnsi="Times New Roman"/>
          <w:sz w:val="24"/>
        </w:rPr>
      </w:pPr>
      <w:r>
        <w:rPr>
          <w:rFonts w:ascii="Times New Roman" w:hAnsi="Times New Roman"/>
          <w:sz w:val="24"/>
        </w:rPr>
        <w:t>2,600+  Faculty members and staff</w:t>
      </w:r>
    </w:p>
    <w:p>
      <w:pPr>
        <w:spacing w:line="360" w:lineRule="auto"/>
        <w:rPr>
          <w:rFonts w:ascii="Times New Roman" w:hAnsi="Times New Roman"/>
          <w:sz w:val="24"/>
        </w:rPr>
      </w:pPr>
      <w:r>
        <w:rPr>
          <w:rFonts w:ascii="Times New Roman" w:hAnsi="Times New Roman"/>
          <w:sz w:val="24"/>
        </w:rPr>
        <w:t>15,000+  Undergraduate students</w:t>
      </w:r>
    </w:p>
    <w:p>
      <w:pPr>
        <w:spacing w:line="360" w:lineRule="auto"/>
        <w:rPr>
          <w:rFonts w:ascii="Times New Roman" w:hAnsi="Times New Roman"/>
          <w:sz w:val="24"/>
        </w:rPr>
      </w:pPr>
      <w:r>
        <w:rPr>
          <w:rFonts w:ascii="Times New Roman" w:hAnsi="Times New Roman"/>
          <w:sz w:val="24"/>
        </w:rPr>
        <w:t>7,500+  Postgraduate students</w:t>
      </w:r>
    </w:p>
    <w:p>
      <w:pPr>
        <w:spacing w:line="360" w:lineRule="auto"/>
        <w:rPr>
          <w:rFonts w:ascii="Times New Roman" w:hAnsi="Times New Roman"/>
          <w:sz w:val="24"/>
        </w:rPr>
      </w:pPr>
      <w:r>
        <w:rPr>
          <w:rFonts w:ascii="Times New Roman" w:hAnsi="Times New Roman"/>
          <w:sz w:val="24"/>
        </w:rPr>
        <w:t>600+  International students</w:t>
      </w:r>
    </w:p>
    <w:p>
      <w:pPr>
        <w:spacing w:line="360" w:lineRule="auto"/>
        <w:rPr>
          <w:rFonts w:ascii="Times New Roman" w:hAnsi="Times New Roman"/>
          <w:sz w:val="24"/>
        </w:rPr>
      </w:pPr>
      <w:r>
        <w:rPr>
          <w:rFonts w:ascii="Times New Roman" w:hAnsi="Times New Roman"/>
          <w:sz w:val="24"/>
        </w:rPr>
        <w:t xml:space="preserve">500+ </w:t>
      </w:r>
      <w:r>
        <w:rPr>
          <w:rFonts w:hint="eastAsia" w:ascii="Times New Roman" w:hAnsi="Times New Roman"/>
          <w:sz w:val="24"/>
        </w:rPr>
        <w:t xml:space="preserve"> </w:t>
      </w:r>
      <w:r>
        <w:rPr>
          <w:rFonts w:ascii="Times New Roman" w:hAnsi="Times New Roman"/>
          <w:sz w:val="24"/>
        </w:rPr>
        <w:t>/year Study -abroad Students</w:t>
      </w:r>
    </w:p>
    <w:p>
      <w:pPr>
        <w:spacing w:line="360" w:lineRule="auto"/>
        <w:rPr>
          <w:rFonts w:ascii="Times New Roman" w:hAnsi="Times New Roman"/>
          <w:sz w:val="24"/>
        </w:rPr>
      </w:pPr>
      <w:r>
        <w:rPr>
          <w:rFonts w:ascii="Times New Roman" w:hAnsi="Times New Roman"/>
          <w:sz w:val="24"/>
        </w:rPr>
        <w:t>2 State Key Laboratories</w:t>
      </w:r>
    </w:p>
    <w:p>
      <w:pPr>
        <w:spacing w:line="360" w:lineRule="auto"/>
        <w:rPr>
          <w:rFonts w:ascii="Times New Roman" w:hAnsi="Times New Roman"/>
          <w:sz w:val="24"/>
        </w:rPr>
      </w:pPr>
      <w:r>
        <w:rPr>
          <w:rFonts w:ascii="Times New Roman" w:hAnsi="Times New Roman"/>
          <w:sz w:val="24"/>
        </w:rPr>
        <w:t>30+</w:t>
      </w:r>
      <w:r>
        <w:rPr>
          <w:rFonts w:hint="eastAsia" w:ascii="Times New Roman" w:hAnsi="Times New Roman"/>
          <w:sz w:val="24"/>
        </w:rPr>
        <w:t xml:space="preserve"> </w:t>
      </w:r>
      <w:r>
        <w:rPr>
          <w:rFonts w:ascii="Times New Roman" w:hAnsi="Times New Roman"/>
          <w:sz w:val="24"/>
        </w:rPr>
        <w:t xml:space="preserve"> Provincial Joint Laboratories/Centers</w:t>
      </w:r>
    </w:p>
    <w:p>
      <w:pPr>
        <w:spacing w:line="360" w:lineRule="auto"/>
        <w:rPr>
          <w:rFonts w:ascii="Times New Roman" w:hAnsi="Times New Roman"/>
          <w:sz w:val="24"/>
        </w:rPr>
      </w:pPr>
      <w:r>
        <w:rPr>
          <w:rFonts w:ascii="Times New Roman" w:hAnsi="Times New Roman"/>
          <w:sz w:val="24"/>
        </w:rPr>
        <w:t xml:space="preserve">5+ </w:t>
      </w:r>
      <w:r>
        <w:rPr>
          <w:rFonts w:hint="eastAsia" w:ascii="Times New Roman" w:hAnsi="Times New Roman"/>
          <w:sz w:val="24"/>
        </w:rPr>
        <w:t xml:space="preserve"> </w:t>
      </w:r>
      <w:r>
        <w:rPr>
          <w:rFonts w:ascii="Times New Roman" w:hAnsi="Times New Roman"/>
          <w:sz w:val="24"/>
        </w:rPr>
        <w:t>International joint Laboratories/Research Centers</w:t>
      </w:r>
    </w:p>
    <w:p>
      <w:pPr>
        <w:spacing w:line="360" w:lineRule="auto"/>
        <w:rPr>
          <w:rFonts w:ascii="Times New Roman" w:hAnsi="Times New Roman"/>
          <w:sz w:val="24"/>
        </w:rPr>
      </w:pPr>
      <w:r>
        <w:rPr>
          <w:rFonts w:ascii="Times New Roman" w:hAnsi="Times New Roman"/>
          <w:sz w:val="24"/>
        </w:rPr>
        <w:t xml:space="preserve">160+ </w:t>
      </w:r>
      <w:r>
        <w:rPr>
          <w:rFonts w:hint="eastAsia" w:ascii="Times New Roman" w:hAnsi="Times New Roman"/>
          <w:sz w:val="24"/>
        </w:rPr>
        <w:t xml:space="preserve"> </w:t>
      </w:r>
      <w:r>
        <w:rPr>
          <w:rFonts w:ascii="Times New Roman" w:hAnsi="Times New Roman"/>
          <w:sz w:val="24"/>
        </w:rPr>
        <w:t>Overseas Cooperation Partne</w:t>
      </w:r>
    </w:p>
    <w:p>
      <w:pPr>
        <w:spacing w:line="360" w:lineRule="auto"/>
        <w:rPr>
          <w:rFonts w:ascii="Times New Roman" w:hAnsi="Times New Roman"/>
          <w:color w:val="000000"/>
          <w:sz w:val="24"/>
        </w:rPr>
      </w:pPr>
    </w:p>
    <w:p>
      <w:pPr>
        <w:numPr>
          <w:ilvl w:val="0"/>
          <w:numId w:val="9"/>
        </w:numPr>
        <w:spacing w:after="156" w:afterLines="50" w:line="360" w:lineRule="auto"/>
        <w:rPr>
          <w:rFonts w:ascii="Times New Roman" w:hAnsi="Times New Roman"/>
          <w:b/>
          <w:sz w:val="24"/>
        </w:rPr>
      </w:pPr>
      <w:r>
        <w:rPr>
          <w:rFonts w:ascii="Times New Roman" w:hAnsi="Times New Roman"/>
          <w:b/>
          <w:sz w:val="24"/>
        </w:rPr>
        <w:t>Undergraduate programs</w:t>
      </w:r>
    </w:p>
    <w:tbl>
      <w:tblPr>
        <w:tblStyle w:val="8"/>
        <w:tblpPr w:leftFromText="180" w:rightFromText="180" w:vertAnchor="text" w:horzAnchor="page" w:tblpX="900" w:tblpY="225"/>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3337"/>
        <w:gridCol w:w="2237"/>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40" w:type="dxa"/>
            <w:gridSpan w:val="4"/>
            <w:shd w:val="clear" w:color="auto" w:fill="DCD8C2"/>
            <w:noWrap/>
            <w:vAlign w:val="bottom"/>
          </w:tcPr>
          <w:p>
            <w:pPr>
              <w:widowControl/>
              <w:jc w:val="left"/>
              <w:textAlignment w:val="bottom"/>
              <w:rPr>
                <w:rFonts w:ascii="Times New Roman" w:hAnsi="Times New Roman"/>
                <w:b/>
                <w:szCs w:val="21"/>
              </w:rPr>
            </w:pPr>
          </w:p>
          <w:p>
            <w:pPr>
              <w:widowControl/>
              <w:jc w:val="left"/>
              <w:textAlignment w:val="bottom"/>
              <w:rPr>
                <w:rFonts w:ascii="Times New Roman" w:hAnsi="Times New Roman"/>
                <w:b/>
                <w:i/>
                <w:iCs/>
                <w:sz w:val="24"/>
                <w:u w:val="single"/>
              </w:rPr>
            </w:pPr>
            <w:r>
              <w:rPr>
                <w:rFonts w:ascii="Times New Roman" w:hAnsi="Times New Roman"/>
                <w:b/>
                <w:sz w:val="24"/>
              </w:rPr>
              <w:t>Bachelor’s Program (4 years)</w:t>
            </w:r>
            <w:r>
              <w:rPr>
                <w:rFonts w:hint="eastAsia" w:ascii="Times New Roman" w:hAnsi="Times New Roman"/>
                <w:b/>
                <w:sz w:val="24"/>
              </w:rPr>
              <w:t xml:space="preserve">  (All taught in Chinese; </w:t>
            </w:r>
            <w:r>
              <w:rPr>
                <w:rFonts w:hint="eastAsia" w:ascii="Times New Roman" w:hAnsi="Times New Roman"/>
                <w:b/>
                <w:bCs/>
                <w:sz w:val="24"/>
              </w:rPr>
              <w:t>HSK</w:t>
            </w:r>
            <w:r>
              <w:rPr>
                <w:rFonts w:ascii="Times New Roman" w:hAnsi="Times New Roman"/>
                <w:b/>
                <w:bCs/>
                <w:sz w:val="24"/>
              </w:rPr>
              <w:t xml:space="preserve"> level </w:t>
            </w:r>
            <w:r>
              <w:rPr>
                <w:rFonts w:hint="eastAsia" w:ascii="Times New Roman" w:hAnsi="Times New Roman"/>
                <w:b/>
                <w:bCs/>
                <w:sz w:val="24"/>
              </w:rPr>
              <w:t>5</w:t>
            </w:r>
            <w:r>
              <w:rPr>
                <w:rFonts w:ascii="Times New Roman" w:hAnsi="Times New Roman"/>
                <w:b/>
                <w:bCs/>
                <w:sz w:val="24"/>
              </w:rPr>
              <w:t xml:space="preserve"> </w:t>
            </w:r>
            <w:r>
              <w:rPr>
                <w:rFonts w:hint="eastAsia" w:ascii="Times New Roman" w:hAnsi="Times New Roman"/>
                <w:b/>
                <w:bCs/>
                <w:sz w:val="24"/>
              </w:rPr>
              <w:t>or</w:t>
            </w:r>
            <w:r>
              <w:rPr>
                <w:rFonts w:ascii="Times New Roman" w:hAnsi="Times New Roman"/>
                <w:b/>
                <w:bCs/>
                <w:sz w:val="24"/>
              </w:rPr>
              <w:t xml:space="preserve"> above</w:t>
            </w:r>
            <w:r>
              <w:rPr>
                <w:rFonts w:hint="eastAsia" w:ascii="Times New Roman" w:hAnsi="Times New Roman"/>
                <w:b/>
                <w:bCs/>
                <w:sz w:val="24"/>
              </w:rPr>
              <w:t>)</w:t>
            </w:r>
          </w:p>
          <w:p>
            <w:pPr>
              <w:widowControl/>
              <w:jc w:val="left"/>
              <w:textAlignment w:val="bottom"/>
              <w:rPr>
                <w:rFonts w:ascii="Times New Roman" w:hAnsi="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94"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Chemical Engineering</w:t>
            </w:r>
          </w:p>
          <w:p>
            <w:pPr>
              <w:widowControl/>
              <w:jc w:val="left"/>
              <w:textAlignment w:val="bottom"/>
              <w:rPr>
                <w:rFonts w:ascii="Times New Roman" w:hAnsi="Times New Roman"/>
                <w:color w:val="000000"/>
                <w:kern w:val="0"/>
                <w:szCs w:val="21"/>
                <w:lang w:bidi="ar"/>
              </w:rPr>
            </w:pPr>
          </w:p>
        </w:tc>
        <w:tc>
          <w:tcPr>
            <w:tcW w:w="3337" w:type="dxa"/>
            <w:noWrap/>
            <w:vAlign w:val="bottom"/>
          </w:tcPr>
          <w:p>
            <w:pPr>
              <w:widowControl/>
              <w:numPr>
                <w:ilvl w:val="0"/>
                <w:numId w:val="10"/>
              </w:numPr>
              <w:jc w:val="left"/>
              <w:textAlignment w:val="bottom"/>
              <w:rPr>
                <w:rFonts w:ascii="Times New Roman" w:hAnsi="Times New Roman"/>
                <w:color w:val="000000"/>
                <w:szCs w:val="21"/>
              </w:rPr>
            </w:pPr>
            <w:r>
              <w:rPr>
                <w:rFonts w:ascii="Times New Roman" w:hAnsi="Times New Roman"/>
                <w:color w:val="000000"/>
                <w:kern w:val="0"/>
                <w:szCs w:val="21"/>
                <w:lang w:bidi="ar"/>
              </w:rPr>
              <w:t>Chemical Engineering and Technology</w:t>
            </w:r>
          </w:p>
        </w:tc>
        <w:tc>
          <w:tcPr>
            <w:tcW w:w="2237"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Information Science and Technology</w:t>
            </w: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tc>
        <w:tc>
          <w:tcPr>
            <w:tcW w:w="2572" w:type="dxa"/>
            <w:noWrap/>
            <w:vAlign w:val="bottom"/>
          </w:tcPr>
          <w:p>
            <w:pPr>
              <w:pStyle w:val="13"/>
              <w:widowControl/>
              <w:numPr>
                <w:ilvl w:val="0"/>
                <w:numId w:val="11"/>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Computer Science and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2"/>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Environmental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1"/>
              </w:numPr>
              <w:jc w:val="left"/>
              <w:textAlignment w:val="bottom"/>
              <w:rPr>
                <w:rFonts w:ascii="Times New Roman" w:hAnsi="Times New Roman"/>
                <w:color w:val="000000"/>
                <w:szCs w:val="21"/>
              </w:rPr>
            </w:pPr>
            <w:r>
              <w:rPr>
                <w:rFonts w:ascii="Times New Roman" w:hAnsi="Times New Roman"/>
                <w:color w:val="000000"/>
                <w:kern w:val="0"/>
                <w:szCs w:val="21"/>
                <w:lang w:bidi="ar"/>
              </w:rPr>
              <w:t>Electronic Information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2"/>
              </w:numPr>
              <w:ind w:firstLineChars="0"/>
              <w:jc w:val="left"/>
              <w:textAlignment w:val="bottom"/>
              <w:rPr>
                <w:rFonts w:ascii="Times New Roman" w:hAnsi="Times New Roman"/>
                <w:color w:val="000000"/>
                <w:kern w:val="0"/>
                <w:szCs w:val="21"/>
                <w:lang w:bidi="ar"/>
              </w:rPr>
            </w:pPr>
            <w:r>
              <w:rPr>
                <w:rFonts w:ascii="Times New Roman" w:hAnsi="Times New Roman"/>
                <w:color w:val="000000"/>
                <w:kern w:val="0"/>
                <w:szCs w:val="21"/>
                <w:lang w:bidi="ar"/>
              </w:rPr>
              <w:t>Energy Chemical Engineering</w:t>
            </w:r>
          </w:p>
          <w:p>
            <w:pPr>
              <w:widowControl/>
              <w:numPr>
                <w:ilvl w:val="0"/>
                <w:numId w:val="13"/>
              </w:numPr>
              <w:jc w:val="left"/>
              <w:textAlignment w:val="bottom"/>
              <w:rPr>
                <w:rFonts w:ascii="Times New Roman" w:hAnsi="Times New Roman"/>
                <w:color w:val="000000"/>
                <w:szCs w:val="21"/>
              </w:rPr>
            </w:pPr>
            <w:r>
              <w:rPr>
                <w:rFonts w:ascii="Times New Roman" w:hAnsi="Times New Roman"/>
                <w:color w:val="000000"/>
                <w:szCs w:val="21"/>
              </w:rPr>
              <w:t>Hydrogen Energy Science and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Communication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Material Science and Technology</w:t>
            </w:r>
          </w:p>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Polymer Materials and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Automation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Materials Science and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Artificial Intelligence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Functional Materials</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Data Science and Cloud Data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Life Science and Technology</w:t>
            </w:r>
          </w:p>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Biological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Testing Techniques and Instruments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 xml:space="preserve">Pharmaceutical Engineering </w:t>
            </w:r>
          </w:p>
        </w:tc>
        <w:tc>
          <w:tcPr>
            <w:tcW w:w="2237"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 xml:space="preserve">College of Economics and </w:t>
            </w:r>
            <w:r>
              <w:rPr>
                <w:rFonts w:hint="eastAsia" w:ascii="Times New Roman" w:hAnsi="Times New Roman"/>
                <w:color w:val="000000"/>
                <w:kern w:val="0"/>
                <w:szCs w:val="21"/>
                <w:lang w:bidi="ar"/>
              </w:rPr>
              <w:t>M</w:t>
            </w:r>
            <w:r>
              <w:rPr>
                <w:rFonts w:ascii="Times New Roman" w:hAnsi="Times New Roman"/>
                <w:color w:val="000000"/>
                <w:kern w:val="0"/>
                <w:szCs w:val="21"/>
                <w:lang w:bidi="ar"/>
              </w:rPr>
              <w:t>anagement</w:t>
            </w: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International Economy and Trade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Biomedical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Accounting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Chemistry</w:t>
            </w:r>
          </w:p>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Applied Chemistry</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Business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Resource Chemistry</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Financial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Energy Chemistry</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Information Management and Information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4"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Math and Physics</w:t>
            </w:r>
          </w:p>
          <w:p>
            <w:pPr>
              <w:widowControl/>
              <w:jc w:val="left"/>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tc>
        <w:tc>
          <w:tcPr>
            <w:tcW w:w="3337" w:type="dxa"/>
            <w:vMerge w:val="restart"/>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Mathematics</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Logistics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vMerge w:val="continue"/>
            <w:noWrap/>
            <w:vAlign w:val="bottom"/>
          </w:tcPr>
          <w:p>
            <w:pPr>
              <w:widowControl/>
              <w:jc w:val="left"/>
              <w:textAlignment w:val="bottom"/>
              <w:rPr>
                <w:rFonts w:ascii="Times New Roman" w:hAnsi="Times New Roman"/>
                <w:color w:val="000000"/>
                <w:kern w:val="0"/>
                <w:szCs w:val="21"/>
                <w:lang w:bidi="ar"/>
              </w:rPr>
            </w:pP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kern w:val="0"/>
                <w:szCs w:val="21"/>
                <w:lang w:bidi="ar"/>
              </w:rPr>
            </w:pPr>
            <w:r>
              <w:rPr>
                <w:rFonts w:ascii="Times New Roman" w:hAnsi="Times New Roman"/>
                <w:color w:val="000000"/>
                <w:kern w:val="0"/>
                <w:szCs w:val="21"/>
                <w:lang w:bidi="ar"/>
              </w:rPr>
              <w:t>Big data management and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Electronic Science and Technology</w:t>
            </w:r>
          </w:p>
        </w:tc>
        <w:tc>
          <w:tcPr>
            <w:tcW w:w="2237" w:type="dxa"/>
            <w:vMerge w:val="restart"/>
            <w:noWrap/>
            <w:vAlign w:val="bottom"/>
          </w:tcPr>
          <w:p>
            <w:pPr>
              <w:widowControl/>
              <w:jc w:val="center"/>
              <w:textAlignment w:val="bottom"/>
              <w:rPr>
                <w:rFonts w:ascii="Times New Roman" w:hAnsi="Times New Roman"/>
                <w:color w:val="000000"/>
                <w:kern w:val="0"/>
                <w:szCs w:val="21"/>
                <w:lang w:bidi="ar"/>
              </w:rPr>
            </w:pPr>
          </w:p>
          <w:p>
            <w:pPr>
              <w:widowControl/>
              <w:jc w:val="center"/>
              <w:textAlignment w:val="bottom"/>
              <w:rPr>
                <w:rFonts w:ascii="Times New Roman" w:hAnsi="Times New Roman"/>
                <w:color w:val="000000"/>
                <w:kern w:val="0"/>
                <w:szCs w:val="21"/>
                <w:lang w:bidi="ar"/>
              </w:rPr>
            </w:pPr>
          </w:p>
          <w:p>
            <w:pPr>
              <w:widowControl/>
              <w:jc w:val="center"/>
              <w:textAlignment w:val="bottom"/>
              <w:rPr>
                <w:rFonts w:ascii="Times New Roman" w:hAnsi="Times New Roman"/>
                <w:color w:val="000000"/>
                <w:kern w:val="0"/>
                <w:szCs w:val="21"/>
                <w:lang w:bidi="ar"/>
              </w:rPr>
            </w:pPr>
          </w:p>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 xml:space="preserve">College of </w:t>
            </w:r>
            <w:r>
              <w:rPr>
                <w:rFonts w:hint="eastAsia" w:ascii="Times New Roman" w:hAnsi="Times New Roman"/>
                <w:color w:val="000000"/>
                <w:kern w:val="0"/>
                <w:szCs w:val="21"/>
                <w:lang w:bidi="ar"/>
              </w:rPr>
              <w:t>H</w:t>
            </w:r>
            <w:r>
              <w:rPr>
                <w:rFonts w:ascii="Times New Roman" w:hAnsi="Times New Roman"/>
                <w:color w:val="000000"/>
                <w:kern w:val="0"/>
                <w:szCs w:val="21"/>
                <w:lang w:bidi="ar"/>
              </w:rPr>
              <w:t xml:space="preserve">umanities and </w:t>
            </w:r>
            <w:r>
              <w:rPr>
                <w:rFonts w:hint="eastAsia" w:ascii="Times New Roman" w:hAnsi="Times New Roman"/>
                <w:color w:val="000000"/>
                <w:kern w:val="0"/>
                <w:szCs w:val="21"/>
                <w:lang w:bidi="ar"/>
              </w:rPr>
              <w:t>L</w:t>
            </w:r>
            <w:r>
              <w:rPr>
                <w:rFonts w:ascii="Times New Roman" w:hAnsi="Times New Roman"/>
                <w:color w:val="000000"/>
                <w:kern w:val="0"/>
                <w:szCs w:val="21"/>
                <w:lang w:bidi="ar"/>
              </w:rPr>
              <w:t>aw</w:t>
            </w:r>
          </w:p>
          <w:p>
            <w:pPr>
              <w:widowControl/>
              <w:jc w:val="center"/>
              <w:textAlignment w:val="bottom"/>
              <w:rPr>
                <w:rFonts w:ascii="Times New Roman" w:hAnsi="Times New Roman"/>
                <w:color w:val="000000"/>
                <w:kern w:val="0"/>
                <w:szCs w:val="21"/>
                <w:lang w:bidi="ar"/>
              </w:rPr>
            </w:pPr>
          </w:p>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Administrative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Information and Computing Science</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Public Utilities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Financial Mathematics</w:t>
            </w:r>
          </w:p>
          <w:p>
            <w:pPr>
              <w:pStyle w:val="13"/>
              <w:widowControl/>
              <w:numPr>
                <w:ilvl w:val="0"/>
                <w:numId w:val="15"/>
              </w:numPr>
              <w:ind w:firstLineChars="0"/>
              <w:jc w:val="left"/>
              <w:textAlignment w:val="bottom"/>
              <w:rPr>
                <w:rFonts w:hint="eastAsia" w:ascii="Times New Roman" w:hAnsi="Times New Roman"/>
                <w:color w:val="000000"/>
                <w:szCs w:val="21"/>
              </w:rPr>
            </w:pPr>
            <w:r>
              <w:rPr>
                <w:rFonts w:ascii="Segoe UI" w:hAnsi="Segoe UI" w:cs="Segoe UI"/>
                <w:kern w:val="0"/>
                <w:szCs w:val="21"/>
                <w:lang w:val="en" w:eastAsia="zh-Hans"/>
              </w:rPr>
              <w:t>Applied Physic</w:t>
            </w:r>
            <w:r>
              <w:rPr>
                <w:rFonts w:hint="eastAsia" w:ascii="Segoe UI" w:hAnsi="Segoe UI" w:cs="Segoe UI"/>
                <w:kern w:val="0"/>
                <w:szCs w:val="21"/>
                <w:lang w:val="en"/>
              </w:rPr>
              <w:t>s</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L</w:t>
            </w:r>
            <w:r>
              <w:rPr>
                <w:rFonts w:hint="eastAsia" w:ascii="Times New Roman" w:hAnsi="Times New Roman"/>
                <w:color w:val="000000"/>
                <w:kern w:val="0"/>
                <w:szCs w:val="21"/>
                <w:lang w:bidi="ar"/>
              </w:rPr>
              <w:t>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094" w:type="dxa"/>
            <w:vMerge w:val="restart"/>
            <w:noWrap/>
            <w:vAlign w:val="bottom"/>
          </w:tcPr>
          <w:p>
            <w:pPr>
              <w:widowControl/>
              <w:jc w:val="center"/>
              <w:textAlignment w:val="bottom"/>
              <w:rPr>
                <w:rFonts w:ascii="Times New Roman" w:hAnsi="Times New Roman"/>
                <w:color w:val="000000"/>
                <w:kern w:val="0"/>
                <w:szCs w:val="21"/>
                <w:lang w:bidi="ar"/>
              </w:rPr>
            </w:pPr>
          </w:p>
          <w:p>
            <w:pPr>
              <w:widowControl/>
              <w:jc w:val="center"/>
              <w:textAlignment w:val="bottom"/>
              <w:rPr>
                <w:rFonts w:ascii="Times New Roman" w:hAnsi="Times New Roman"/>
                <w:color w:val="000000"/>
                <w:kern w:val="0"/>
                <w:szCs w:val="21"/>
                <w:lang w:bidi="ar"/>
              </w:rPr>
            </w:pPr>
          </w:p>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College of Mechanical and Electrical Engineering</w:t>
            </w:r>
          </w:p>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Process Equipment and Control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E</w:t>
            </w:r>
            <w:r>
              <w:rPr>
                <w:rFonts w:hint="eastAsia" w:ascii="Times New Roman" w:hAnsi="Times New Roman"/>
                <w:color w:val="000000"/>
                <w:kern w:val="0"/>
                <w:szCs w:val="21"/>
                <w:lang w:bidi="ar"/>
              </w:rPr>
              <w:t>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Mechanical Design Manufacturing and Automation</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pStyle w:val="13"/>
              <w:widowControl/>
              <w:numPr>
                <w:ilvl w:val="0"/>
                <w:numId w:val="14"/>
              </w:numPr>
              <w:ind w:firstLineChars="0"/>
              <w:jc w:val="left"/>
              <w:textAlignment w:val="bottom"/>
              <w:rPr>
                <w:rFonts w:ascii="Times New Roman" w:hAnsi="Times New Roman"/>
                <w:color w:val="000000"/>
                <w:szCs w:val="21"/>
              </w:rPr>
            </w:pPr>
            <w:r>
              <w:rPr>
                <w:rFonts w:ascii="Times New Roman" w:hAnsi="Times New Roman"/>
                <w:color w:val="000000"/>
                <w:szCs w:val="21"/>
              </w:rPr>
              <w:t>Social sports guidance and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Safety Engineering</w:t>
            </w:r>
          </w:p>
        </w:tc>
        <w:tc>
          <w:tcPr>
            <w:tcW w:w="2237" w:type="dxa"/>
            <w:vMerge w:val="restart"/>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Department of Art and Design</w:t>
            </w:r>
          </w:p>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Digital Media 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94" w:type="dxa"/>
            <w:vMerge w:val="continue"/>
            <w:noWrap/>
            <w:vAlign w:val="bottom"/>
          </w:tcPr>
          <w:p>
            <w:pPr>
              <w:widowControl/>
              <w:jc w:val="left"/>
              <w:textAlignment w:val="bottom"/>
              <w:rPr>
                <w:rFonts w:ascii="Times New Roman" w:hAnsi="Times New Roman"/>
                <w:color w:val="000000"/>
                <w:kern w:val="0"/>
                <w:szCs w:val="21"/>
                <w:lang w:bidi="ar"/>
              </w:rPr>
            </w:pP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szCs w:val="21"/>
              </w:rPr>
            </w:pPr>
            <w:r>
              <w:rPr>
                <w:rFonts w:ascii="Times New Roman" w:hAnsi="Times New Roman"/>
                <w:color w:val="000000"/>
                <w:kern w:val="0"/>
                <w:szCs w:val="21"/>
                <w:lang w:bidi="ar"/>
              </w:rPr>
              <w:t>Robotics Engineering</w:t>
            </w:r>
          </w:p>
        </w:tc>
        <w:tc>
          <w:tcPr>
            <w:tcW w:w="2237" w:type="dxa"/>
            <w:vMerge w:val="continue"/>
            <w:noWrap/>
            <w:vAlign w:val="bottom"/>
          </w:tcPr>
          <w:p>
            <w:pPr>
              <w:widowControl/>
              <w:jc w:val="left"/>
              <w:textAlignment w:val="bottom"/>
              <w:rPr>
                <w:rFonts w:ascii="Times New Roman" w:hAnsi="Times New Roman"/>
                <w:color w:val="000000"/>
                <w:kern w:val="0"/>
                <w:szCs w:val="21"/>
                <w:lang w:bidi="ar"/>
              </w:rPr>
            </w:pPr>
          </w:p>
        </w:tc>
        <w:tc>
          <w:tcPr>
            <w:tcW w:w="2572" w:type="dxa"/>
            <w:noWrap/>
            <w:vAlign w:val="bottom"/>
          </w:tcPr>
          <w:p>
            <w:pPr>
              <w:widowControl/>
              <w:numPr>
                <w:ilvl w:val="0"/>
                <w:numId w:val="14"/>
              </w:numPr>
              <w:jc w:val="left"/>
              <w:textAlignment w:val="bottom"/>
              <w:rPr>
                <w:rFonts w:ascii="Times New Roman" w:hAnsi="Times New Roman"/>
                <w:color w:val="000000"/>
                <w:szCs w:val="21"/>
              </w:rPr>
            </w:pPr>
            <w:r>
              <w:rPr>
                <w:rFonts w:ascii="Times New Roman" w:hAnsi="Times New Roman"/>
                <w:color w:val="000000"/>
                <w:kern w:val="0"/>
                <w:szCs w:val="21"/>
                <w:lang w:bidi="ar"/>
              </w:rPr>
              <w:t>Product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094" w:type="dxa"/>
            <w:noWrap/>
            <w:vAlign w:val="bottom"/>
          </w:tcPr>
          <w:p>
            <w:pPr>
              <w:widowControl/>
              <w:jc w:val="center"/>
              <w:textAlignment w:val="bottom"/>
              <w:rPr>
                <w:rFonts w:ascii="Times New Roman" w:hAnsi="Times New Roman"/>
                <w:color w:val="000000"/>
                <w:kern w:val="0"/>
                <w:szCs w:val="21"/>
                <w:lang w:bidi="ar"/>
              </w:rPr>
            </w:pPr>
            <w:r>
              <w:rPr>
                <w:rFonts w:ascii="Times New Roman" w:hAnsi="Times New Roman"/>
                <w:color w:val="000000"/>
                <w:kern w:val="0"/>
                <w:szCs w:val="21"/>
                <w:lang w:bidi="ar"/>
              </w:rPr>
              <w:t>Ecole de Chimie de Pékin</w:t>
            </w:r>
            <w:r>
              <w:rPr>
                <w:rFonts w:hint="eastAsia" w:ascii="Times New Roman" w:hAnsi="Times New Roman"/>
                <w:color w:val="000000"/>
                <w:kern w:val="0"/>
                <w:szCs w:val="21"/>
                <w:lang w:bidi="ar"/>
              </w:rPr>
              <w:t xml:space="preserve"> (Paris Curie Engineer School)</w:t>
            </w:r>
          </w:p>
        </w:tc>
        <w:tc>
          <w:tcPr>
            <w:tcW w:w="3337" w:type="dxa"/>
            <w:noWrap/>
            <w:vAlign w:val="bottom"/>
          </w:tcPr>
          <w:p>
            <w:pPr>
              <w:pStyle w:val="13"/>
              <w:widowControl/>
              <w:numPr>
                <w:ilvl w:val="0"/>
                <w:numId w:val="15"/>
              </w:numPr>
              <w:ind w:firstLineChars="0"/>
              <w:jc w:val="left"/>
              <w:textAlignment w:val="bottom"/>
              <w:rPr>
                <w:rFonts w:ascii="Times New Roman" w:hAnsi="Times New Roman"/>
                <w:color w:val="000000"/>
                <w:kern w:val="0"/>
                <w:szCs w:val="21"/>
                <w:lang w:bidi="ar"/>
              </w:rPr>
            </w:pPr>
            <w:r>
              <w:rPr>
                <w:rFonts w:ascii="Times New Roman" w:hAnsi="Times New Roman"/>
                <w:color w:val="000000"/>
                <w:kern w:val="0"/>
                <w:szCs w:val="21"/>
                <w:lang w:bidi="ar"/>
              </w:rPr>
              <w:t>Chemical Engineering and Technology</w:t>
            </w:r>
          </w:p>
          <w:p>
            <w:pPr>
              <w:pStyle w:val="13"/>
              <w:widowControl/>
              <w:numPr>
                <w:ilvl w:val="0"/>
                <w:numId w:val="15"/>
              </w:numPr>
              <w:ind w:firstLineChars="0"/>
              <w:jc w:val="left"/>
              <w:textAlignment w:val="bottom"/>
              <w:rPr>
                <w:rFonts w:ascii="Times New Roman" w:hAnsi="Times New Roman"/>
                <w:color w:val="000000"/>
                <w:kern w:val="0"/>
                <w:szCs w:val="21"/>
                <w:lang w:bidi="ar"/>
              </w:rPr>
            </w:pPr>
            <w:r>
              <w:rPr>
                <w:rFonts w:ascii="Times New Roman" w:hAnsi="Times New Roman"/>
                <w:color w:val="000000"/>
                <w:kern w:val="0"/>
                <w:szCs w:val="21"/>
                <w:lang w:bidi="ar"/>
              </w:rPr>
              <w:t>Polymer Materials and Engineering</w:t>
            </w:r>
          </w:p>
          <w:p>
            <w:pPr>
              <w:pStyle w:val="13"/>
              <w:widowControl/>
              <w:numPr>
                <w:ilvl w:val="0"/>
                <w:numId w:val="15"/>
              </w:numPr>
              <w:ind w:firstLineChars="0"/>
              <w:jc w:val="left"/>
              <w:textAlignment w:val="bottom"/>
              <w:rPr>
                <w:rFonts w:ascii="Times New Roman" w:hAnsi="Times New Roman"/>
                <w:color w:val="000000"/>
                <w:kern w:val="0"/>
                <w:szCs w:val="21"/>
                <w:lang w:bidi="ar"/>
              </w:rPr>
            </w:pPr>
            <w:r>
              <w:rPr>
                <w:rFonts w:ascii="Times New Roman" w:hAnsi="Times New Roman"/>
                <w:color w:val="000000"/>
                <w:kern w:val="0"/>
                <w:szCs w:val="21"/>
                <w:lang w:bidi="ar"/>
              </w:rPr>
              <w:t>Biological Engineering</w:t>
            </w:r>
          </w:p>
        </w:tc>
        <w:tc>
          <w:tcPr>
            <w:tcW w:w="2237" w:type="dxa"/>
            <w:noWrap/>
            <w:vAlign w:val="bottom"/>
          </w:tcPr>
          <w:p>
            <w:pPr>
              <w:widowControl/>
              <w:jc w:val="left"/>
              <w:textAlignment w:val="bottom"/>
              <w:rPr>
                <w:rFonts w:ascii="Times New Roman" w:hAnsi="Times New Roman"/>
                <w:color w:val="000000"/>
                <w:kern w:val="0"/>
                <w:szCs w:val="21"/>
                <w:highlight w:val="red"/>
                <w:lang w:bidi="ar"/>
              </w:rPr>
            </w:pPr>
          </w:p>
        </w:tc>
        <w:tc>
          <w:tcPr>
            <w:tcW w:w="2572" w:type="dxa"/>
            <w:noWrap/>
            <w:vAlign w:val="bottom"/>
          </w:tcPr>
          <w:p>
            <w:pPr>
              <w:pStyle w:val="13"/>
              <w:widowControl/>
              <w:ind w:firstLine="0" w:firstLineChars="0"/>
              <w:jc w:val="left"/>
              <w:textAlignment w:val="bottom"/>
              <w:rPr>
                <w:rFonts w:ascii="Times New Roman" w:hAnsi="Times New Roman"/>
                <w:color w:val="000000"/>
                <w:kern w:val="0"/>
                <w:szCs w:val="21"/>
                <w:highlight w:val="red"/>
                <w:lang w:bidi="ar"/>
              </w:rPr>
            </w:pPr>
          </w:p>
        </w:tc>
      </w:tr>
    </w:tbl>
    <w:p>
      <w:pPr>
        <w:spacing w:line="360" w:lineRule="auto"/>
        <w:jc w:val="left"/>
        <w:rPr>
          <w:rFonts w:ascii="Times New Roman" w:hAnsi="Times New Roman"/>
          <w:sz w:val="24"/>
        </w:rPr>
      </w:pPr>
    </w:p>
    <w:p>
      <w:pPr>
        <w:spacing w:line="360" w:lineRule="auto"/>
        <w:jc w:val="left"/>
        <w:rPr>
          <w:rFonts w:ascii="Times New Roman" w:hAnsi="Times New Roman"/>
          <w:sz w:val="24"/>
        </w:rPr>
      </w:pPr>
    </w:p>
    <w:p>
      <w:pPr>
        <w:numPr>
          <w:ilvl w:val="0"/>
          <w:numId w:val="9"/>
        </w:numPr>
        <w:spacing w:after="156" w:afterLines="50" w:line="360" w:lineRule="auto"/>
        <w:rPr>
          <w:rFonts w:ascii="Times New Roman" w:hAnsi="Times New Roman"/>
          <w:b/>
          <w:sz w:val="24"/>
        </w:rPr>
      </w:pPr>
      <w:r>
        <w:rPr>
          <w:rFonts w:ascii="Times New Roman" w:hAnsi="Times New Roman"/>
          <w:b/>
          <w:sz w:val="24"/>
        </w:rPr>
        <w:t xml:space="preserve">Qualifications of Applicants </w:t>
      </w:r>
    </w:p>
    <w:p>
      <w:pPr>
        <w:numPr>
          <w:ilvl w:val="0"/>
          <w:numId w:val="16"/>
        </w:numPr>
        <w:spacing w:line="360" w:lineRule="auto"/>
        <w:rPr>
          <w:rFonts w:ascii="Times New Roman" w:hAnsi="Times New Roman"/>
          <w:sz w:val="24"/>
        </w:rPr>
      </w:pPr>
      <w:r>
        <w:rPr>
          <w:rFonts w:ascii="Times New Roman" w:hAnsi="Times New Roman"/>
          <w:sz w:val="24"/>
        </w:rPr>
        <w:t>Applicants must be citizens of nations other than China and in good health condition.</w:t>
      </w:r>
    </w:p>
    <w:p>
      <w:pPr>
        <w:numPr>
          <w:ilvl w:val="0"/>
          <w:numId w:val="16"/>
        </w:numPr>
        <w:spacing w:line="360" w:lineRule="auto"/>
        <w:rPr>
          <w:rFonts w:ascii="Times New Roman" w:hAnsi="Times New Roman"/>
          <w:sz w:val="24"/>
        </w:rPr>
      </w:pPr>
      <w:r>
        <w:rPr>
          <w:rFonts w:ascii="Times New Roman" w:hAnsi="Times New Roman"/>
          <w:sz w:val="24"/>
        </w:rPr>
        <w:t>Applicants should hold a high school diploma and be not older than 25;</w:t>
      </w:r>
    </w:p>
    <w:p>
      <w:pPr>
        <w:numPr>
          <w:ilvl w:val="0"/>
          <w:numId w:val="16"/>
        </w:numPr>
        <w:spacing w:line="360" w:lineRule="auto"/>
        <w:rPr>
          <w:rFonts w:ascii="Times New Roman" w:hAnsi="Times New Roman"/>
          <w:sz w:val="24"/>
        </w:rPr>
      </w:pPr>
      <w:r>
        <w:rPr>
          <w:rFonts w:ascii="Times New Roman" w:hAnsi="Times New Roman"/>
          <w:sz w:val="24"/>
        </w:rPr>
        <w:t>Applicants should show excellent ability in conducting study or research.</w:t>
      </w:r>
    </w:p>
    <w:p>
      <w:pPr>
        <w:spacing w:line="360" w:lineRule="auto"/>
        <w:rPr>
          <w:rFonts w:ascii="Times New Roman" w:hAnsi="Times New Roman"/>
          <w:spacing w:val="30"/>
          <w:sz w:val="24"/>
          <w:shd w:val="clear" w:color="auto" w:fill="FFFFFF"/>
        </w:rPr>
      </w:pPr>
    </w:p>
    <w:p>
      <w:pPr>
        <w:numPr>
          <w:ilvl w:val="0"/>
          <w:numId w:val="17"/>
        </w:numPr>
        <w:spacing w:line="360" w:lineRule="auto"/>
        <w:rPr>
          <w:rFonts w:ascii="Times New Roman" w:hAnsi="Times New Roman"/>
          <w:sz w:val="24"/>
        </w:rPr>
      </w:pPr>
      <w:r>
        <w:rPr>
          <w:rFonts w:ascii="Times New Roman" w:hAnsi="Times New Roman"/>
          <w:b/>
          <w:bCs/>
          <w:kern w:val="44"/>
          <w:sz w:val="24"/>
        </w:rPr>
        <w:t>Application</w:t>
      </w:r>
      <w:r>
        <w:rPr>
          <w:rFonts w:hint="eastAsia" w:ascii="Times New Roman" w:hAnsi="Times New Roman"/>
          <w:b/>
          <w:bCs/>
          <w:kern w:val="44"/>
          <w:sz w:val="24"/>
        </w:rPr>
        <w:t xml:space="preserve"> and Admission Process</w:t>
      </w:r>
      <w:r>
        <w:rPr>
          <w:rFonts w:ascii="Times New Roman" w:hAnsi="Times New Roman"/>
          <w:kern w:val="44"/>
          <w:sz w:val="24"/>
        </w:rPr>
        <w:t xml:space="preserve"> </w:t>
      </w:r>
      <w:r>
        <w:rPr>
          <w:rFonts w:hint="eastAsia" w:ascii="Times New Roman" w:hAnsi="Times New Roman"/>
          <w:kern w:val="44"/>
          <w:sz w:val="24"/>
        </w:rPr>
        <w:t xml:space="preserve">(Deadline June </w:t>
      </w:r>
      <w:r>
        <w:rPr>
          <w:rFonts w:hint="eastAsia" w:ascii="Times New Roman" w:hAnsi="Times New Roman"/>
          <w:kern w:val="44"/>
          <w:sz w:val="24"/>
          <w:lang w:val="en-US" w:eastAsia="zh-CN"/>
        </w:rPr>
        <w:t>3</w:t>
      </w:r>
      <w:r>
        <w:rPr>
          <w:rFonts w:hint="eastAsia" w:ascii="Times New Roman" w:hAnsi="Times New Roman"/>
          <w:kern w:val="44"/>
          <w:sz w:val="24"/>
        </w:rPr>
        <w:t>0,</w:t>
      </w:r>
      <w:r>
        <w:rPr>
          <w:rFonts w:hint="eastAsia" w:ascii="Times New Roman" w:hAnsi="Times New Roman"/>
          <w:kern w:val="44"/>
          <w:sz w:val="24"/>
          <w:lang w:val="en-US" w:eastAsia="zh-CN"/>
        </w:rPr>
        <w:t xml:space="preserve"> </w:t>
      </w:r>
      <w:r>
        <w:rPr>
          <w:rFonts w:hint="eastAsia" w:ascii="Times New Roman" w:hAnsi="Times New Roman"/>
          <w:kern w:val="44"/>
          <w:sz w:val="24"/>
        </w:rPr>
        <w:t>202</w:t>
      </w:r>
      <w:r>
        <w:rPr>
          <w:rFonts w:hint="eastAsia" w:ascii="Times New Roman" w:hAnsi="Times New Roman"/>
          <w:kern w:val="44"/>
          <w:sz w:val="24"/>
          <w:lang w:val="en-US" w:eastAsia="zh-CN"/>
        </w:rPr>
        <w:t>4</w:t>
      </w:r>
      <w:r>
        <w:rPr>
          <w:rFonts w:ascii="Times New Roman" w:hAnsi="Times New Roman"/>
          <w:sz w:val="24"/>
        </w:rPr>
        <w:t>)</w:t>
      </w:r>
    </w:p>
    <w:p>
      <w:pPr>
        <w:numPr>
          <w:ilvl w:val="0"/>
          <w:numId w:val="18"/>
        </w:numPr>
        <w:spacing w:line="360" w:lineRule="auto"/>
        <w:rPr>
          <w:rFonts w:ascii="Times New Roman" w:hAnsi="Times New Roman"/>
          <w:sz w:val="24"/>
        </w:rPr>
      </w:pPr>
      <w:r>
        <w:rPr>
          <w:rFonts w:ascii="Times New Roman" w:hAnsi="Times New Roman"/>
          <w:sz w:val="24"/>
        </w:rPr>
        <w:t xml:space="preserve">Register your account and activate in </w:t>
      </w:r>
      <w:r>
        <w:fldChar w:fldCharType="begin"/>
      </w:r>
      <w:r>
        <w:instrText xml:space="preserve"> HYPERLINK "http://study.buct.edu.cn" </w:instrText>
      </w:r>
      <w:r>
        <w:fldChar w:fldCharType="separate"/>
      </w:r>
      <w:r>
        <w:rPr>
          <w:rFonts w:ascii="Times New Roman" w:hAnsi="Times New Roman"/>
          <w:sz w:val="24"/>
        </w:rPr>
        <w:t>http://study.buct.edu.cn</w:t>
      </w:r>
      <w:r>
        <w:rPr>
          <w:rFonts w:ascii="Times New Roman" w:hAnsi="Times New Roman"/>
          <w:sz w:val="24"/>
        </w:rPr>
        <w:fldChar w:fldCharType="end"/>
      </w:r>
      <w:r>
        <w:rPr>
          <w:rFonts w:hint="eastAsia" w:ascii="Times New Roman" w:hAnsi="Times New Roman"/>
          <w:sz w:val="24"/>
        </w:rPr>
        <w:t>，f</w:t>
      </w:r>
      <w:r>
        <w:rPr>
          <w:rFonts w:ascii="Times New Roman" w:hAnsi="Times New Roman"/>
          <w:sz w:val="24"/>
        </w:rPr>
        <w:t>ill out your Application online and upload the materials;</w:t>
      </w:r>
    </w:p>
    <w:p>
      <w:pPr>
        <w:numPr>
          <w:ilvl w:val="0"/>
          <w:numId w:val="18"/>
        </w:numPr>
        <w:spacing w:line="360" w:lineRule="auto"/>
        <w:rPr>
          <w:rFonts w:ascii="Times New Roman" w:hAnsi="Times New Roman"/>
          <w:sz w:val="24"/>
        </w:rPr>
      </w:pPr>
      <w:r>
        <w:rPr>
          <w:rFonts w:hint="eastAsia" w:ascii="Times New Roman" w:hAnsi="Times New Roman"/>
          <w:sz w:val="24"/>
        </w:rPr>
        <w:t>Document review;</w:t>
      </w:r>
    </w:p>
    <w:p>
      <w:pPr>
        <w:numPr>
          <w:ilvl w:val="0"/>
          <w:numId w:val="18"/>
        </w:numPr>
        <w:spacing w:line="360" w:lineRule="auto"/>
        <w:rPr>
          <w:rFonts w:ascii="Times New Roman" w:hAnsi="Times New Roman"/>
          <w:sz w:val="24"/>
        </w:rPr>
      </w:pPr>
      <w:r>
        <w:rPr>
          <w:rFonts w:ascii="Times New Roman" w:hAnsi="Times New Roman"/>
          <w:bCs/>
          <w:sz w:val="24"/>
        </w:rPr>
        <w:t>Online interview</w:t>
      </w:r>
      <w:r>
        <w:rPr>
          <w:rFonts w:hint="eastAsia" w:ascii="Times New Roman" w:hAnsi="Times New Roman"/>
          <w:bCs/>
          <w:sz w:val="24"/>
        </w:rPr>
        <w:t>;</w:t>
      </w:r>
    </w:p>
    <w:p>
      <w:pPr>
        <w:numPr>
          <w:ilvl w:val="0"/>
          <w:numId w:val="18"/>
        </w:numPr>
        <w:spacing w:line="360" w:lineRule="auto"/>
        <w:rPr>
          <w:rFonts w:ascii="Times New Roman" w:hAnsi="Times New Roman"/>
          <w:sz w:val="24"/>
        </w:rPr>
      </w:pPr>
      <w:r>
        <w:rPr>
          <w:rFonts w:hint="eastAsia" w:ascii="Times New Roman" w:hAnsi="Times New Roman"/>
          <w:bCs/>
          <w:sz w:val="24"/>
        </w:rPr>
        <w:t>Admission announcement</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All accepted applicants will be informed via Email.</w:t>
      </w:r>
      <w:r>
        <w:rPr>
          <w:rFonts w:hint="eastAsia" w:ascii="Times New Roman" w:hAnsi="Times New Roman"/>
          <w:sz w:val="24"/>
        </w:rPr>
        <w:t>)</w:t>
      </w:r>
    </w:p>
    <w:p>
      <w:pPr>
        <w:numPr>
          <w:ilvl w:val="0"/>
          <w:numId w:val="18"/>
        </w:numPr>
        <w:spacing w:line="360" w:lineRule="auto"/>
        <w:rPr>
          <w:rFonts w:ascii="Times New Roman" w:hAnsi="Times New Roman"/>
          <w:sz w:val="24"/>
        </w:rPr>
      </w:pPr>
      <w:r>
        <w:rPr>
          <w:rFonts w:hint="eastAsia" w:ascii="Times New Roman" w:hAnsi="Times New Roman"/>
          <w:sz w:val="24"/>
        </w:rPr>
        <w:t>Receive</w:t>
      </w:r>
      <w:r>
        <w:rPr>
          <w:rFonts w:ascii="Times New Roman" w:hAnsi="Times New Roman"/>
          <w:sz w:val="24"/>
        </w:rPr>
        <w:t xml:space="preserve"> the admission Letter and JW201/JW202 form by DHL</w:t>
      </w:r>
      <w:r>
        <w:rPr>
          <w:rFonts w:hint="eastAsia" w:ascii="Times New Roman" w:hAnsi="Times New Roman"/>
          <w:sz w:val="24"/>
        </w:rPr>
        <w:t>.</w:t>
      </w:r>
    </w:p>
    <w:p>
      <w:pPr>
        <w:spacing w:line="360" w:lineRule="auto"/>
        <w:rPr>
          <w:rFonts w:ascii="Times New Roman" w:hAnsi="Times New Roman"/>
          <w:sz w:val="24"/>
        </w:rPr>
      </w:pPr>
    </w:p>
    <w:p>
      <w:pPr>
        <w:spacing w:line="360" w:lineRule="auto"/>
        <w:rPr>
          <w:rFonts w:ascii="Times New Roman" w:hAnsi="Times New Roman"/>
          <w:sz w:val="24"/>
        </w:rPr>
      </w:pPr>
    </w:p>
    <w:p>
      <w:pPr>
        <w:numPr>
          <w:ilvl w:val="0"/>
          <w:numId w:val="17"/>
        </w:numPr>
        <w:spacing w:line="360" w:lineRule="auto"/>
        <w:rPr>
          <w:rFonts w:ascii="Times New Roman" w:hAnsi="Times New Roman"/>
          <w:b/>
          <w:bCs/>
          <w:kern w:val="44"/>
          <w:sz w:val="24"/>
        </w:rPr>
      </w:pPr>
      <w:r>
        <w:rPr>
          <w:rFonts w:ascii="Times New Roman" w:hAnsi="Times New Roman"/>
          <w:b/>
          <w:bCs/>
          <w:kern w:val="44"/>
          <w:sz w:val="24"/>
        </w:rPr>
        <w:t>Admission Materials</w:t>
      </w:r>
    </w:p>
    <w:p>
      <w:pPr>
        <w:numPr>
          <w:ilvl w:val="0"/>
          <w:numId w:val="19"/>
        </w:numPr>
        <w:spacing w:line="360" w:lineRule="auto"/>
        <w:rPr>
          <w:rFonts w:ascii="Times New Roman" w:hAnsi="Times New Roman"/>
          <w:sz w:val="24"/>
        </w:rPr>
      </w:pPr>
      <w:r>
        <w:rPr>
          <w:rFonts w:ascii="Times New Roman" w:hAnsi="Times New Roman"/>
          <w:sz w:val="24"/>
        </w:rPr>
        <w:t>CV</w:t>
      </w:r>
      <w:r>
        <w:rPr>
          <w:rFonts w:hint="eastAsia" w:ascii="Times New Roman" w:hAnsi="Times New Roman"/>
          <w:sz w:val="24"/>
        </w:rPr>
        <w:t>;</w:t>
      </w:r>
    </w:p>
    <w:p>
      <w:pPr>
        <w:numPr>
          <w:ilvl w:val="0"/>
          <w:numId w:val="19"/>
        </w:numPr>
        <w:spacing w:line="360" w:lineRule="auto"/>
        <w:rPr>
          <w:rFonts w:ascii="Times New Roman" w:hAnsi="Times New Roman"/>
          <w:sz w:val="24"/>
        </w:rPr>
      </w:pPr>
      <w:r>
        <w:rPr>
          <w:rFonts w:ascii="Times New Roman" w:hAnsi="Times New Roman"/>
          <w:sz w:val="24"/>
        </w:rPr>
        <w:t>Original Transcript and Diploma of the highest Degree</w:t>
      </w:r>
      <w:r>
        <w:rPr>
          <w:rFonts w:hint="eastAsia" w:ascii="Times New Roman" w:hAnsi="Times New Roman"/>
          <w:sz w:val="24"/>
        </w:rPr>
        <w:t>(notarized);</w:t>
      </w:r>
    </w:p>
    <w:p>
      <w:pPr>
        <w:numPr>
          <w:ilvl w:val="0"/>
          <w:numId w:val="19"/>
        </w:numPr>
        <w:spacing w:line="360" w:lineRule="auto"/>
        <w:rPr>
          <w:rFonts w:ascii="Times New Roman" w:hAnsi="Times New Roman"/>
          <w:sz w:val="24"/>
        </w:rPr>
      </w:pPr>
      <w:r>
        <w:rPr>
          <w:rFonts w:ascii="Times New Roman" w:hAnsi="Times New Roman"/>
          <w:sz w:val="24"/>
        </w:rPr>
        <w:t>Passport size photos, passport copy;</w:t>
      </w:r>
    </w:p>
    <w:p>
      <w:pPr>
        <w:numPr>
          <w:ilvl w:val="0"/>
          <w:numId w:val="19"/>
        </w:numPr>
        <w:spacing w:line="360" w:lineRule="auto"/>
        <w:rPr>
          <w:rFonts w:ascii="Times New Roman" w:hAnsi="Times New Roman"/>
          <w:sz w:val="24"/>
        </w:rPr>
      </w:pPr>
      <w:r>
        <w:rPr>
          <w:rFonts w:ascii="Times New Roman" w:hAnsi="Times New Roman"/>
          <w:sz w:val="24"/>
        </w:rPr>
        <w:t>Photocopy of Foreigner Physical Examination Form;</w:t>
      </w:r>
    </w:p>
    <w:p>
      <w:pPr>
        <w:numPr>
          <w:ilvl w:val="0"/>
          <w:numId w:val="19"/>
        </w:numPr>
        <w:spacing w:line="360" w:lineRule="auto"/>
        <w:rPr>
          <w:rFonts w:ascii="Times New Roman" w:hAnsi="Times New Roman"/>
          <w:sz w:val="24"/>
        </w:rPr>
      </w:pPr>
      <w:r>
        <w:rPr>
          <w:rFonts w:ascii="Times New Roman" w:hAnsi="Times New Roman"/>
          <w:sz w:val="24"/>
        </w:rPr>
        <w:t>No Criminal Record Certificate;</w:t>
      </w:r>
    </w:p>
    <w:p>
      <w:pPr>
        <w:numPr>
          <w:ilvl w:val="0"/>
          <w:numId w:val="19"/>
        </w:numPr>
        <w:spacing w:line="360" w:lineRule="auto"/>
        <w:rPr>
          <w:rFonts w:ascii="Times New Roman" w:hAnsi="Times New Roman"/>
          <w:sz w:val="24"/>
        </w:rPr>
      </w:pPr>
      <w:r>
        <w:rPr>
          <w:rFonts w:ascii="Times New Roman" w:hAnsi="Times New Roman"/>
          <w:sz w:val="24"/>
        </w:rPr>
        <w:t xml:space="preserve">HSK Proficiency certificates ( </w:t>
      </w:r>
      <w:r>
        <w:rPr>
          <w:rFonts w:hint="eastAsia" w:ascii="Times New Roman" w:hAnsi="Times New Roman"/>
          <w:sz w:val="24"/>
        </w:rPr>
        <w:t>HSK</w:t>
      </w:r>
      <w:r>
        <w:rPr>
          <w:rFonts w:ascii="Times New Roman" w:hAnsi="Times New Roman"/>
          <w:sz w:val="24"/>
        </w:rPr>
        <w:t xml:space="preserve"> level </w:t>
      </w:r>
      <w:r>
        <w:rPr>
          <w:rFonts w:hint="eastAsia" w:ascii="Times New Roman" w:hAnsi="Times New Roman"/>
          <w:sz w:val="24"/>
        </w:rPr>
        <w:t>5</w:t>
      </w:r>
      <w:r>
        <w:rPr>
          <w:rFonts w:ascii="Times New Roman" w:hAnsi="Times New Roman"/>
          <w:sz w:val="24"/>
        </w:rPr>
        <w:t xml:space="preserve"> </w:t>
      </w:r>
      <w:r>
        <w:rPr>
          <w:rFonts w:hint="eastAsia" w:ascii="Times New Roman" w:hAnsi="Times New Roman"/>
          <w:sz w:val="24"/>
        </w:rPr>
        <w:t>or</w:t>
      </w:r>
      <w:r>
        <w:rPr>
          <w:rFonts w:ascii="Times New Roman" w:hAnsi="Times New Roman"/>
          <w:sz w:val="24"/>
        </w:rPr>
        <w:t xml:space="preserve"> above);</w:t>
      </w:r>
    </w:p>
    <w:p>
      <w:pPr>
        <w:numPr>
          <w:ilvl w:val="0"/>
          <w:numId w:val="19"/>
        </w:numPr>
        <w:spacing w:line="360" w:lineRule="auto"/>
        <w:rPr>
          <w:rFonts w:ascii="Times New Roman" w:hAnsi="Times New Roman"/>
          <w:sz w:val="24"/>
        </w:rPr>
      </w:pPr>
      <w:r>
        <w:rPr>
          <w:rFonts w:ascii="Times New Roman" w:hAnsi="Times New Roman"/>
          <w:sz w:val="24"/>
        </w:rPr>
        <w:t>Originals or copies of academic publication, patent, and other academic achievements (if any)</w:t>
      </w:r>
      <w:r>
        <w:rPr>
          <w:rFonts w:hint="eastAsia" w:ascii="Times New Roman" w:hAnsi="Times New Roman"/>
          <w:sz w:val="24"/>
        </w:rPr>
        <w:t>.</w:t>
      </w:r>
    </w:p>
    <w:p>
      <w:pPr>
        <w:spacing w:line="360" w:lineRule="auto"/>
        <w:rPr>
          <w:rFonts w:ascii="Times New Roman" w:hAnsi="Times New Roman"/>
          <w:sz w:val="24"/>
        </w:rPr>
      </w:pPr>
      <w:r>
        <w:rPr>
          <w:rFonts w:ascii="Times New Roman" w:hAnsi="Times New Roman"/>
          <w:color w:val="FF0000"/>
          <w:sz w:val="24"/>
        </w:rPr>
        <w:t>Note：It is not mandatory to send copies of application materials to BUCT.</w:t>
      </w:r>
    </w:p>
    <w:p>
      <w:pPr>
        <w:spacing w:line="360" w:lineRule="auto"/>
        <w:rPr>
          <w:rFonts w:ascii="Times New Roman" w:hAnsi="Times New Roman" w:cs="Times New Roman"/>
          <w:sz w:val="24"/>
        </w:rPr>
      </w:pPr>
    </w:p>
    <w:p>
      <w:pPr>
        <w:numPr>
          <w:ilvl w:val="0"/>
          <w:numId w:val="20"/>
        </w:numPr>
        <w:spacing w:line="360" w:lineRule="auto"/>
        <w:rPr>
          <w:rFonts w:ascii="Times New Roman" w:hAnsi="Times New Roman"/>
          <w:b/>
          <w:bCs/>
          <w:kern w:val="44"/>
          <w:sz w:val="24"/>
        </w:rPr>
      </w:pPr>
      <w:r>
        <w:rPr>
          <w:rFonts w:ascii="Times New Roman" w:hAnsi="Times New Roman"/>
          <w:b/>
          <w:bCs/>
          <w:kern w:val="44"/>
          <w:sz w:val="24"/>
        </w:rPr>
        <w:t xml:space="preserve">Scholarships </w:t>
      </w:r>
    </w:p>
    <w:p>
      <w:pPr>
        <w:spacing w:line="360" w:lineRule="auto"/>
        <w:rPr>
          <w:rFonts w:ascii="Times New Roman" w:hAnsi="Times New Roman"/>
          <w:color w:val="000000"/>
          <w:sz w:val="24"/>
        </w:rPr>
      </w:pPr>
      <w:r>
        <w:rPr>
          <w:rFonts w:ascii="Times New Roman" w:hAnsi="Times New Roman"/>
          <w:b/>
          <w:bCs/>
          <w:color w:val="000000"/>
          <w:sz w:val="24"/>
        </w:rPr>
        <w:t>1.Chinese Government Scholarship (CSC Scholarship</w:t>
      </w:r>
      <w:r>
        <w:rPr>
          <w:rFonts w:hint="eastAsia" w:ascii="Times New Roman" w:hAnsi="Times New Roman"/>
          <w:b/>
          <w:bCs/>
          <w:color w:val="000000"/>
          <w:sz w:val="24"/>
        </w:rPr>
        <w:t xml:space="preserve"> </w:t>
      </w:r>
      <w:r>
        <w:rPr>
          <w:rFonts w:hint="eastAsia" w:ascii="Times New Roman" w:hAnsi="Times New Roman"/>
          <w:b/>
          <w:bCs/>
          <w:sz w:val="24"/>
        </w:rPr>
        <w:t>Type A</w:t>
      </w:r>
      <w:r>
        <w:rPr>
          <w:rFonts w:ascii="Times New Roman" w:hAnsi="Times New Roman"/>
          <w:b/>
          <w:bCs/>
          <w:color w:val="000000"/>
          <w:sz w:val="24"/>
        </w:rPr>
        <w:t>)</w:t>
      </w:r>
      <w:r>
        <w:rPr>
          <w:rFonts w:ascii="Times New Roman" w:hAnsi="Times New Roman"/>
          <w:color w:val="000000"/>
          <w:sz w:val="24"/>
        </w:rPr>
        <w:t xml:space="preserve"> </w:t>
      </w:r>
    </w:p>
    <w:p>
      <w:pPr>
        <w:spacing w:line="360" w:lineRule="auto"/>
        <w:rPr>
          <w:rFonts w:ascii="Times New Roman" w:hAnsi="Times New Roman"/>
          <w:color w:val="000000"/>
          <w:sz w:val="24"/>
        </w:rPr>
      </w:pPr>
      <w:r>
        <w:rPr>
          <w:rFonts w:ascii="Times New Roman" w:hAnsi="Times New Roman"/>
          <w:color w:val="000000"/>
          <w:sz w:val="24"/>
        </w:rPr>
        <w:t>What does the scholarship cover?</w:t>
      </w:r>
    </w:p>
    <w:p>
      <w:pPr>
        <w:numPr>
          <w:ilvl w:val="0"/>
          <w:numId w:val="21"/>
        </w:numPr>
        <w:spacing w:line="360" w:lineRule="auto"/>
        <w:rPr>
          <w:rFonts w:ascii="Times New Roman" w:hAnsi="Times New Roman"/>
          <w:color w:val="000000"/>
          <w:sz w:val="24"/>
        </w:rPr>
      </w:pPr>
      <w:r>
        <w:rPr>
          <w:rFonts w:ascii="Times New Roman" w:hAnsi="Times New Roman"/>
          <w:color w:val="000000"/>
          <w:sz w:val="24"/>
        </w:rPr>
        <w:t>Tuition and accommodation;</w:t>
      </w:r>
    </w:p>
    <w:p>
      <w:pPr>
        <w:numPr>
          <w:ilvl w:val="0"/>
          <w:numId w:val="21"/>
        </w:numPr>
        <w:spacing w:line="360" w:lineRule="auto"/>
        <w:rPr>
          <w:rFonts w:ascii="Times New Roman" w:hAnsi="Times New Roman"/>
          <w:color w:val="000000"/>
          <w:sz w:val="24"/>
        </w:rPr>
      </w:pPr>
      <w:r>
        <w:rPr>
          <w:rFonts w:ascii="Times New Roman" w:hAnsi="Times New Roman"/>
          <w:color w:val="000000"/>
          <w:sz w:val="24"/>
        </w:rPr>
        <w:t>Living expenses, 2500 yuan / month;</w:t>
      </w:r>
    </w:p>
    <w:p>
      <w:pPr>
        <w:numPr>
          <w:ilvl w:val="0"/>
          <w:numId w:val="21"/>
        </w:numPr>
        <w:spacing w:line="360" w:lineRule="auto"/>
        <w:rPr>
          <w:rFonts w:ascii="Times New Roman" w:hAnsi="Times New Roman"/>
          <w:color w:val="000000"/>
          <w:sz w:val="24"/>
        </w:rPr>
      </w:pPr>
      <w:r>
        <w:rPr>
          <w:rFonts w:ascii="Times New Roman" w:hAnsi="Times New Roman"/>
          <w:color w:val="000000"/>
          <w:sz w:val="24"/>
        </w:rPr>
        <w:t>Comprehensive medical insurance 800 yuan / person /year;</w:t>
      </w:r>
    </w:p>
    <w:p>
      <w:pPr>
        <w:spacing w:line="360" w:lineRule="auto"/>
        <w:rPr>
          <w:rFonts w:ascii="Times New Roman" w:hAnsi="Times New Roman"/>
          <w:color w:val="000000"/>
          <w:sz w:val="24"/>
        </w:rPr>
      </w:pPr>
      <w:r>
        <w:rPr>
          <w:rFonts w:ascii="Times New Roman" w:hAnsi="Times New Roman"/>
          <w:color w:val="000000"/>
          <w:sz w:val="24"/>
        </w:rPr>
        <w:t>How to apply?</w:t>
      </w:r>
    </w:p>
    <w:p>
      <w:pPr>
        <w:spacing w:line="360" w:lineRule="auto"/>
        <w:rPr>
          <w:rFonts w:ascii="Times New Roman" w:hAnsi="Times New Roman"/>
          <w:color w:val="000000"/>
          <w:sz w:val="24"/>
        </w:rPr>
      </w:pPr>
      <w:r>
        <w:rPr>
          <w:rFonts w:ascii="Times New Roman" w:hAnsi="Times New Roman"/>
          <w:color w:val="000000"/>
          <w:sz w:val="24"/>
        </w:rPr>
        <w:t xml:space="preserve">Apply through the Chinese Embassy/Consulate or Ministry of Education in your country </w:t>
      </w:r>
      <w:r>
        <w:rPr>
          <w:rFonts w:hint="eastAsia" w:ascii="Times New Roman" w:hAnsi="Times New Roman"/>
          <w:color w:val="000000"/>
          <w:sz w:val="24"/>
        </w:rPr>
        <w:t>(</w:t>
      </w:r>
      <w:r>
        <w:rPr>
          <w:rFonts w:ascii="Times New Roman" w:hAnsi="Times New Roman"/>
          <w:color w:val="000000"/>
          <w:sz w:val="24"/>
        </w:rPr>
        <w:t>Recommended method of application</w:t>
      </w:r>
      <w:r>
        <w:rPr>
          <w:rFonts w:hint="eastAsia" w:ascii="Times New Roman" w:hAnsi="Times New Roman"/>
          <w:color w:val="000000"/>
          <w:sz w:val="24"/>
        </w:rPr>
        <w:t>)</w:t>
      </w:r>
    </w:p>
    <w:p>
      <w:pPr>
        <w:spacing w:line="360" w:lineRule="auto"/>
        <w:rPr>
          <w:rFonts w:ascii="Times New Roman" w:hAnsi="Times New Roman"/>
          <w:color w:val="FF0000"/>
          <w:sz w:val="24"/>
        </w:rPr>
      </w:pPr>
      <w:r>
        <w:rPr>
          <w:rFonts w:ascii="Times New Roman" w:hAnsi="Times New Roman"/>
          <w:color w:val="FF0000"/>
          <w:sz w:val="24"/>
        </w:rPr>
        <w:t>Note: CSC applications typically begin in January every year but for more specific application dates please contact the respective institutions</w:t>
      </w:r>
      <w:r>
        <w:rPr>
          <w:rFonts w:hint="eastAsia" w:ascii="Times New Roman" w:hAnsi="Times New Roman"/>
          <w:color w:val="FF0000"/>
          <w:sz w:val="24"/>
        </w:rPr>
        <w:t xml:space="preserve"> </w:t>
      </w:r>
      <w:r>
        <w:rPr>
          <w:rFonts w:ascii="Times New Roman" w:hAnsi="Times New Roman"/>
          <w:color w:val="FF0000"/>
          <w:sz w:val="24"/>
        </w:rPr>
        <w:t>(Embassy or Ministry)</w:t>
      </w:r>
      <w:r>
        <w:rPr>
          <w:rFonts w:hint="eastAsia" w:ascii="Times New Roman" w:hAnsi="Times New Roman"/>
          <w:color w:val="FF0000"/>
          <w:sz w:val="24"/>
        </w:rPr>
        <w:t>.</w:t>
      </w:r>
    </w:p>
    <w:p>
      <w:pPr>
        <w:snapToGrid w:val="0"/>
        <w:spacing w:line="360" w:lineRule="auto"/>
        <w:rPr>
          <w:rFonts w:ascii="Times New Roman" w:hAnsi="Times New Roman"/>
          <w:color w:val="000000"/>
          <w:sz w:val="24"/>
        </w:rPr>
      </w:pPr>
    </w:p>
    <w:p>
      <w:pPr>
        <w:spacing w:line="360" w:lineRule="auto"/>
        <w:rPr>
          <w:rFonts w:ascii="Times New Roman" w:hAnsi="Times New Roman"/>
          <w:b/>
          <w:bCs/>
          <w:color w:val="000000"/>
          <w:sz w:val="24"/>
        </w:rPr>
      </w:pPr>
      <w:r>
        <w:rPr>
          <w:rFonts w:ascii="Times New Roman" w:hAnsi="Times New Roman"/>
          <w:b/>
          <w:bCs/>
          <w:color w:val="000000"/>
          <w:sz w:val="24"/>
        </w:rPr>
        <w:t>2.Beijing Government Scholarship</w:t>
      </w:r>
    </w:p>
    <w:p>
      <w:pPr>
        <w:spacing w:line="360" w:lineRule="auto"/>
        <w:rPr>
          <w:rFonts w:ascii="Times New Roman" w:hAnsi="Times New Roman"/>
          <w:color w:val="000000"/>
          <w:sz w:val="24"/>
        </w:rPr>
      </w:pPr>
      <w:r>
        <w:rPr>
          <w:rFonts w:ascii="Times New Roman" w:hAnsi="Times New Roman"/>
          <w:color w:val="000000"/>
          <w:sz w:val="24"/>
        </w:rPr>
        <w:t xml:space="preserve">What does the scholarship cover? </w:t>
      </w:r>
    </w:p>
    <w:p>
      <w:pPr>
        <w:spacing w:line="360" w:lineRule="auto"/>
        <w:rPr>
          <w:rFonts w:ascii="Times New Roman" w:hAnsi="Times New Roman"/>
          <w:color w:val="000000"/>
          <w:sz w:val="24"/>
        </w:rPr>
      </w:pPr>
      <w:r>
        <w:rPr>
          <w:rFonts w:ascii="Times New Roman" w:hAnsi="Times New Roman"/>
          <w:color w:val="000000"/>
          <w:sz w:val="24"/>
        </w:rPr>
        <w:t xml:space="preserve">1 year/half year tuition fee </w:t>
      </w:r>
      <w:r>
        <w:rPr>
          <w:rFonts w:hint="eastAsia" w:ascii="Times New Roman" w:hAnsi="Times New Roman"/>
          <w:color w:val="000000"/>
          <w:sz w:val="24"/>
        </w:rPr>
        <w:t>(</w:t>
      </w:r>
      <w:r>
        <w:rPr>
          <w:rFonts w:ascii="Times New Roman" w:hAnsi="Times New Roman"/>
          <w:color w:val="000000"/>
          <w:sz w:val="24"/>
        </w:rPr>
        <w:t>review every year)</w:t>
      </w:r>
    </w:p>
    <w:p>
      <w:pPr>
        <w:spacing w:line="360" w:lineRule="auto"/>
        <w:rPr>
          <w:rFonts w:ascii="Times New Roman" w:hAnsi="Times New Roman"/>
          <w:color w:val="000000"/>
          <w:sz w:val="24"/>
        </w:rPr>
      </w:pPr>
      <w:r>
        <w:rPr>
          <w:rFonts w:ascii="Times New Roman" w:hAnsi="Times New Roman"/>
          <w:color w:val="000000"/>
          <w:sz w:val="24"/>
        </w:rPr>
        <w:t>How to apply?</w:t>
      </w:r>
    </w:p>
    <w:p>
      <w:pPr>
        <w:spacing w:line="360" w:lineRule="auto"/>
        <w:rPr>
          <w:rFonts w:ascii="Times New Roman" w:hAnsi="Times New Roman"/>
          <w:sz w:val="24"/>
        </w:rPr>
      </w:pPr>
      <w:r>
        <w:rPr>
          <w:rFonts w:ascii="Times New Roman" w:hAnsi="Times New Roman"/>
          <w:color w:val="000000"/>
          <w:sz w:val="24"/>
        </w:rPr>
        <w:t xml:space="preserve">Register account and activate in </w:t>
      </w:r>
      <w:r>
        <w:fldChar w:fldCharType="begin"/>
      </w:r>
      <w:r>
        <w:instrText xml:space="preserve"> HYPERLINK "http://study.buct.edu.cn" </w:instrText>
      </w:r>
      <w:r>
        <w:fldChar w:fldCharType="separate"/>
      </w:r>
      <w:r>
        <w:rPr>
          <w:rFonts w:ascii="Times New Roman" w:hAnsi="Times New Roman"/>
          <w:color w:val="000000"/>
          <w:sz w:val="24"/>
        </w:rPr>
        <w:t>http://study.buct.edu.cn</w:t>
      </w:r>
      <w:r>
        <w:rPr>
          <w:rFonts w:ascii="Times New Roman" w:hAnsi="Times New Roman"/>
          <w:color w:val="000000"/>
          <w:sz w:val="24"/>
        </w:rPr>
        <w:fldChar w:fldCharType="end"/>
      </w:r>
      <w:r>
        <w:rPr>
          <w:rFonts w:ascii="Times New Roman" w:hAnsi="Times New Roman"/>
          <w:color w:val="000000"/>
          <w:sz w:val="24"/>
        </w:rPr>
        <w:t>,</w:t>
      </w:r>
      <w:r>
        <w:rPr>
          <w:rFonts w:hint="eastAsia" w:ascii="Times New Roman" w:hAnsi="Times New Roman"/>
          <w:color w:val="000000"/>
          <w:sz w:val="24"/>
        </w:rPr>
        <w:t xml:space="preserve"> </w:t>
      </w:r>
      <w:r>
        <w:rPr>
          <w:rFonts w:ascii="Times New Roman" w:hAnsi="Times New Roman"/>
          <w:color w:val="000000"/>
          <w:sz w:val="24"/>
        </w:rPr>
        <w:t>fill out your application online</w:t>
      </w:r>
      <w:r>
        <w:rPr>
          <w:rFonts w:hint="eastAsia" w:ascii="Times New Roman" w:hAnsi="Times New Roman"/>
          <w:color w:val="000000"/>
          <w:sz w:val="24"/>
        </w:rPr>
        <w:t xml:space="preserve">, </w:t>
      </w:r>
      <w:r>
        <w:rPr>
          <w:rFonts w:ascii="Times New Roman" w:hAnsi="Times New Roman"/>
          <w:color w:val="000000"/>
          <w:sz w:val="24"/>
        </w:rPr>
        <w:t>School of International Education organize the assessment according to application materials.</w:t>
      </w:r>
    </w:p>
    <w:p>
      <w:pPr>
        <w:tabs>
          <w:tab w:val="left" w:pos="837"/>
        </w:tabs>
        <w:spacing w:line="360" w:lineRule="auto"/>
        <w:rPr>
          <w:rFonts w:ascii="Times New Roman" w:hAnsi="Times New Roman"/>
          <w:color w:val="000000"/>
          <w:sz w:val="24"/>
        </w:rPr>
      </w:pPr>
      <w:r>
        <w:rPr>
          <w:rFonts w:hint="eastAsia" w:ascii="Times New Roman" w:hAnsi="Times New Roman"/>
          <w:color w:val="000000"/>
          <w:sz w:val="24"/>
        </w:rPr>
        <w:tab/>
      </w:r>
    </w:p>
    <w:p>
      <w:pPr>
        <w:spacing w:line="360" w:lineRule="auto"/>
        <w:rPr>
          <w:rFonts w:ascii="Times New Roman" w:hAnsi="Times New Roman"/>
          <w:b/>
          <w:bCs/>
          <w:color w:val="FF0000"/>
          <w:sz w:val="24"/>
        </w:rPr>
      </w:pPr>
    </w:p>
    <w:p>
      <w:pPr>
        <w:numPr>
          <w:ilvl w:val="0"/>
          <w:numId w:val="22"/>
        </w:numPr>
        <w:spacing w:line="360" w:lineRule="auto"/>
        <w:rPr>
          <w:rFonts w:ascii="Times New Roman" w:hAnsi="Times New Roman"/>
          <w:b/>
          <w:bCs/>
          <w:color w:val="000000"/>
          <w:sz w:val="24"/>
        </w:rPr>
      </w:pPr>
      <w:r>
        <w:rPr>
          <w:rFonts w:hint="eastAsia" w:ascii="Times New Roman" w:hAnsi="Times New Roman"/>
          <w:b/>
          <w:bCs/>
          <w:color w:val="000000"/>
          <w:sz w:val="24"/>
        </w:rPr>
        <w:t>C</w:t>
      </w:r>
      <w:r>
        <w:rPr>
          <w:rFonts w:ascii="Times New Roman" w:hAnsi="Times New Roman"/>
          <w:b/>
          <w:bCs/>
          <w:color w:val="000000"/>
          <w:sz w:val="24"/>
        </w:rPr>
        <w:t>ontact</w:t>
      </w:r>
    </w:p>
    <w:p>
      <w:pPr>
        <w:spacing w:line="360" w:lineRule="auto"/>
        <w:rPr>
          <w:rFonts w:ascii="Times New Roman" w:hAnsi="Times New Roman"/>
          <w:color w:val="000000"/>
          <w:sz w:val="24"/>
        </w:rPr>
      </w:pPr>
      <w:r>
        <w:rPr>
          <w:rFonts w:ascii="Times New Roman" w:hAnsi="Times New Roman"/>
          <w:color w:val="000000"/>
          <w:sz w:val="24"/>
        </w:rPr>
        <w:t>International Students Office</w:t>
      </w:r>
      <w:r>
        <w:rPr>
          <w:rFonts w:hint="eastAsia" w:ascii="Times New Roman" w:hAnsi="Times New Roman"/>
          <w:color w:val="000000"/>
          <w:sz w:val="24"/>
        </w:rPr>
        <w:t xml:space="preserve">, </w:t>
      </w:r>
      <w:r>
        <w:rPr>
          <w:rFonts w:ascii="Times New Roman" w:hAnsi="Times New Roman"/>
          <w:color w:val="000000"/>
          <w:sz w:val="24"/>
        </w:rPr>
        <w:t>School of International Education</w:t>
      </w:r>
    </w:p>
    <w:p>
      <w:pPr>
        <w:spacing w:line="360" w:lineRule="auto"/>
        <w:rPr>
          <w:rFonts w:ascii="Times New Roman" w:hAnsi="Times New Roman"/>
          <w:color w:val="000000"/>
          <w:sz w:val="24"/>
        </w:rPr>
      </w:pPr>
      <w:r>
        <w:rPr>
          <w:rFonts w:ascii="Times New Roman" w:hAnsi="Times New Roman"/>
          <w:color w:val="000000"/>
          <w:sz w:val="24"/>
        </w:rPr>
        <w:t>Beijing University of Chemical Technology</w:t>
      </w:r>
    </w:p>
    <w:p>
      <w:pPr>
        <w:spacing w:line="360" w:lineRule="auto"/>
        <w:rPr>
          <w:rFonts w:ascii="Times New Roman" w:hAnsi="Times New Roman"/>
          <w:color w:val="000000"/>
          <w:sz w:val="24"/>
        </w:rPr>
      </w:pPr>
      <w:r>
        <w:rPr>
          <w:rFonts w:ascii="Times New Roman" w:hAnsi="Times New Roman"/>
          <w:color w:val="000000"/>
          <w:sz w:val="24"/>
        </w:rPr>
        <w:t>No. 15 Bei San Huan East Road, Chaoyang District, Beijing, 100029</w:t>
      </w:r>
    </w:p>
    <w:p>
      <w:pPr>
        <w:snapToGrid w:val="0"/>
        <w:spacing w:line="360" w:lineRule="auto"/>
        <w:rPr>
          <w:rFonts w:ascii="Times New Roman" w:hAnsi="Times New Roman"/>
          <w:color w:val="000000"/>
          <w:sz w:val="24"/>
        </w:rPr>
      </w:pPr>
      <w:r>
        <w:rPr>
          <w:rFonts w:ascii="Times New Roman" w:hAnsi="Times New Roman"/>
          <w:color w:val="000000"/>
          <w:sz w:val="24"/>
        </w:rPr>
        <w:t>Phone</w:t>
      </w:r>
      <w:r>
        <w:rPr>
          <w:rFonts w:hint="eastAsia" w:ascii="Times New Roman" w:hAnsi="Times New Roman"/>
          <w:color w:val="000000"/>
          <w:sz w:val="24"/>
        </w:rPr>
        <w:t>:</w:t>
      </w:r>
      <w:r>
        <w:rPr>
          <w:rFonts w:ascii="Times New Roman" w:hAnsi="Times New Roman"/>
          <w:color w:val="000000"/>
          <w:sz w:val="24"/>
        </w:rPr>
        <w:t>0086-10-64452461</w:t>
      </w:r>
    </w:p>
    <w:p>
      <w:pPr>
        <w:snapToGrid w:val="0"/>
        <w:spacing w:line="360" w:lineRule="auto"/>
        <w:rPr>
          <w:rFonts w:ascii="Times New Roman" w:hAnsi="Times New Roman"/>
          <w:color w:val="000000"/>
          <w:sz w:val="24"/>
          <w:lang w:val="fr-FR"/>
        </w:rPr>
      </w:pPr>
      <w:r>
        <w:rPr>
          <w:rFonts w:ascii="Times New Roman" w:hAnsi="Times New Roman"/>
          <w:color w:val="000000"/>
          <w:sz w:val="24"/>
          <w:lang w:val="fr-FR"/>
        </w:rPr>
        <w:t>Email:</w:t>
      </w:r>
      <w:r>
        <w:fldChar w:fldCharType="begin"/>
      </w:r>
      <w:r>
        <w:instrText xml:space="preserve"> HYPERLINK "mailto:buctapply@mail.buct.edu.cn" </w:instrText>
      </w:r>
      <w:r>
        <w:fldChar w:fldCharType="separate"/>
      </w:r>
      <w:r>
        <w:rPr>
          <w:rFonts w:ascii="Times New Roman" w:hAnsi="Times New Roman"/>
          <w:color w:val="000000"/>
          <w:sz w:val="24"/>
          <w:lang w:val="fr-FR"/>
        </w:rPr>
        <w:t>buctapply@buct.edu.cn</w:t>
      </w:r>
      <w:r>
        <w:rPr>
          <w:rFonts w:ascii="Times New Roman" w:hAnsi="Times New Roman"/>
          <w:color w:val="000000"/>
          <w:sz w:val="24"/>
          <w:lang w:val="fr-FR"/>
        </w:rPr>
        <w:fldChar w:fldCharType="end"/>
      </w:r>
      <w:r>
        <w:rPr>
          <w:rFonts w:ascii="Times New Roman" w:hAnsi="Times New Roman"/>
          <w:color w:val="000000"/>
          <w:sz w:val="24"/>
          <w:lang w:val="fr-FR"/>
        </w:rPr>
        <w:t xml:space="preserve">  </w:t>
      </w:r>
    </w:p>
    <w:p>
      <w:pPr>
        <w:snapToGrid w:val="0"/>
        <w:spacing w:line="360" w:lineRule="auto"/>
        <w:rPr>
          <w:rFonts w:ascii="Times New Roman" w:hAnsi="Times New Roman"/>
          <w:color w:val="000000"/>
          <w:sz w:val="24"/>
        </w:rPr>
      </w:pPr>
      <w:r>
        <w:rPr>
          <w:rFonts w:ascii="Times New Roman" w:hAnsi="Times New Roman"/>
          <w:color w:val="000000"/>
          <w:sz w:val="24"/>
        </w:rPr>
        <w:t>Website:</w:t>
      </w:r>
      <w:r>
        <w:rPr>
          <w:rFonts w:ascii="Times New Roman" w:hAnsi="Times New Roman"/>
          <w:b/>
          <w:bCs/>
          <w:color w:val="548DD4"/>
          <w:sz w:val="24"/>
        </w:rPr>
        <w:t xml:space="preserve"> </w:t>
      </w:r>
      <w:bookmarkStart w:id="0" w:name="OLE_LINK1"/>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"https://en-sie.buct.edu.cn/3873/list.htm" </w:instrText>
      </w:r>
      <w:r>
        <w:rPr>
          <w:rFonts w:hint="default" w:ascii="Times New Roman" w:hAnsi="Times New Roman" w:cs="Times New Roman"/>
          <w:sz w:val="24"/>
          <w:szCs w:val="24"/>
        </w:rPr>
        <w:fldChar w:fldCharType="separate"/>
      </w:r>
      <w:r>
        <w:rPr>
          <w:rStyle w:val="12"/>
          <w:rFonts w:hint="default" w:ascii="Times New Roman" w:hAnsi="Times New Roman" w:cs="Times New Roman"/>
          <w:sz w:val="24"/>
          <w:szCs w:val="24"/>
        </w:rPr>
        <w:t>https://en-sie.buct.edu.cn</w:t>
      </w:r>
      <w:r>
        <w:rPr>
          <w:rStyle w:val="12"/>
          <w:rFonts w:hint="default" w:ascii="Times New Roman" w:hAnsi="Times New Roman" w:cs="Times New Roman"/>
          <w:sz w:val="24"/>
          <w:szCs w:val="24"/>
        </w:rPr>
        <w:fldChar w:fldCharType="end"/>
      </w:r>
      <w:bookmarkEnd w:id="0"/>
      <w:r>
        <w:rPr>
          <w:rFonts w:hint="default" w:ascii="Times New Roman" w:hAnsi="Times New Roman" w:cs="Times New Roman"/>
          <w:color w:val="17365D"/>
          <w:sz w:val="24"/>
          <w:szCs w:val="24"/>
        </w:rPr>
        <w:t> </w:t>
      </w:r>
      <w:r>
        <w:rPr>
          <w:rFonts w:ascii="Times New Roman" w:hAnsi="Times New Roman"/>
          <w:color w:val="000000"/>
          <w:sz w:val="24"/>
        </w:rPr>
        <w:t>  English version</w:t>
      </w:r>
    </w:p>
    <w:p>
      <w:pPr>
        <w:rPr>
          <w:rFonts w:ascii="Times New Roman" w:hAnsi="Times New Roman"/>
          <w:spacing w:val="30"/>
          <w:sz w:val="24"/>
          <w:shd w:val="clear" w:color="auto" w:fill="FFFFFF"/>
        </w:rPr>
      </w:pPr>
      <w:r>
        <w:rPr>
          <w:rFonts w:ascii="Times New Roman" w:hAnsi="Times New Roman"/>
          <w:color w:val="000000"/>
          <w:sz w:val="24"/>
          <w:lang w:val="fr-FR"/>
        </w:rPr>
        <w:t>Facebook：https://www.facebook.com/groups/buctapplication</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B45F6"/>
    <w:multiLevelType w:val="singleLevel"/>
    <w:tmpl w:val="928B45F6"/>
    <w:lvl w:ilvl="0" w:tentative="0">
      <w:start w:val="1"/>
      <w:numFmt w:val="bullet"/>
      <w:lvlText w:val=""/>
      <w:lvlJc w:val="left"/>
      <w:pPr>
        <w:ind w:left="420" w:hanging="420"/>
      </w:pPr>
      <w:rPr>
        <w:rFonts w:hint="default" w:ascii="Wingdings" w:hAnsi="Wingdings"/>
      </w:rPr>
    </w:lvl>
  </w:abstractNum>
  <w:abstractNum w:abstractNumId="1">
    <w:nsid w:val="9313553D"/>
    <w:multiLevelType w:val="singleLevel"/>
    <w:tmpl w:val="9313553D"/>
    <w:lvl w:ilvl="0" w:tentative="0">
      <w:start w:val="1"/>
      <w:numFmt w:val="bullet"/>
      <w:lvlText w:val=""/>
      <w:lvlJc w:val="left"/>
      <w:pPr>
        <w:ind w:left="420" w:hanging="420"/>
      </w:pPr>
      <w:rPr>
        <w:rFonts w:hint="default" w:ascii="Wingdings" w:hAnsi="Wingdings"/>
      </w:rPr>
    </w:lvl>
  </w:abstractNum>
  <w:abstractNum w:abstractNumId="2">
    <w:nsid w:val="9934602A"/>
    <w:multiLevelType w:val="singleLevel"/>
    <w:tmpl w:val="9934602A"/>
    <w:lvl w:ilvl="0" w:tentative="0">
      <w:start w:val="1"/>
      <w:numFmt w:val="decimal"/>
      <w:lvlText w:val="%1."/>
      <w:lvlJc w:val="left"/>
      <w:pPr>
        <w:ind w:left="425" w:hanging="425"/>
      </w:pPr>
      <w:rPr>
        <w:rFonts w:hint="default"/>
        <w:highlight w:val="none"/>
      </w:rPr>
    </w:lvl>
  </w:abstractNum>
  <w:abstractNum w:abstractNumId="3">
    <w:nsid w:val="9A30ECA2"/>
    <w:multiLevelType w:val="singleLevel"/>
    <w:tmpl w:val="9A30ECA2"/>
    <w:lvl w:ilvl="0" w:tentative="0">
      <w:start w:val="1"/>
      <w:numFmt w:val="bullet"/>
      <w:lvlText w:val=""/>
      <w:lvlJc w:val="left"/>
      <w:pPr>
        <w:ind w:left="420" w:hanging="420"/>
      </w:pPr>
      <w:rPr>
        <w:rFonts w:hint="default" w:ascii="Wingdings" w:hAnsi="Wingdings"/>
      </w:rPr>
    </w:lvl>
  </w:abstractNum>
  <w:abstractNum w:abstractNumId="4">
    <w:nsid w:val="AF7BB8C6"/>
    <w:multiLevelType w:val="singleLevel"/>
    <w:tmpl w:val="AF7BB8C6"/>
    <w:lvl w:ilvl="0" w:tentative="0">
      <w:start w:val="1"/>
      <w:numFmt w:val="decimal"/>
      <w:suff w:val="space"/>
      <w:lvlText w:val="%1)"/>
      <w:lvlJc w:val="left"/>
    </w:lvl>
  </w:abstractNum>
  <w:abstractNum w:abstractNumId="5">
    <w:nsid w:val="B2F12A10"/>
    <w:multiLevelType w:val="singleLevel"/>
    <w:tmpl w:val="B2F12A10"/>
    <w:lvl w:ilvl="0" w:tentative="0">
      <w:start w:val="1"/>
      <w:numFmt w:val="decimal"/>
      <w:suff w:val="space"/>
      <w:lvlText w:val="%1."/>
      <w:lvlJc w:val="left"/>
    </w:lvl>
  </w:abstractNum>
  <w:abstractNum w:abstractNumId="6">
    <w:nsid w:val="B3CF5E5D"/>
    <w:multiLevelType w:val="singleLevel"/>
    <w:tmpl w:val="B3CF5E5D"/>
    <w:lvl w:ilvl="0" w:tentative="0">
      <w:start w:val="1"/>
      <w:numFmt w:val="bullet"/>
      <w:lvlText w:val=""/>
      <w:lvlJc w:val="left"/>
      <w:pPr>
        <w:ind w:left="420" w:hanging="420"/>
      </w:pPr>
      <w:rPr>
        <w:rFonts w:hint="default" w:ascii="Wingdings" w:hAnsi="Wingdings"/>
      </w:rPr>
    </w:lvl>
  </w:abstractNum>
  <w:abstractNum w:abstractNumId="7">
    <w:nsid w:val="B983D24C"/>
    <w:multiLevelType w:val="singleLevel"/>
    <w:tmpl w:val="B983D24C"/>
    <w:lvl w:ilvl="0" w:tentative="0">
      <w:start w:val="1"/>
      <w:numFmt w:val="bullet"/>
      <w:lvlText w:val=""/>
      <w:lvlJc w:val="left"/>
      <w:pPr>
        <w:ind w:left="420" w:hanging="420"/>
      </w:pPr>
      <w:rPr>
        <w:rFonts w:hint="default" w:ascii="Wingdings" w:hAnsi="Wingdings"/>
      </w:rPr>
    </w:lvl>
  </w:abstractNum>
  <w:abstractNum w:abstractNumId="8">
    <w:nsid w:val="BD6B3C5B"/>
    <w:multiLevelType w:val="singleLevel"/>
    <w:tmpl w:val="BD6B3C5B"/>
    <w:lvl w:ilvl="0" w:tentative="0">
      <w:start w:val="1"/>
      <w:numFmt w:val="decimal"/>
      <w:suff w:val="space"/>
      <w:lvlText w:val="%1."/>
      <w:lvlJc w:val="left"/>
    </w:lvl>
  </w:abstractNum>
  <w:abstractNum w:abstractNumId="9">
    <w:nsid w:val="E8F95326"/>
    <w:multiLevelType w:val="singleLevel"/>
    <w:tmpl w:val="E8F95326"/>
    <w:lvl w:ilvl="0" w:tentative="0">
      <w:start w:val="1"/>
      <w:numFmt w:val="bullet"/>
      <w:lvlText w:val=""/>
      <w:lvlJc w:val="left"/>
      <w:pPr>
        <w:ind w:left="420" w:hanging="420"/>
      </w:pPr>
      <w:rPr>
        <w:rFonts w:hint="default" w:ascii="Wingdings" w:hAnsi="Wingdings"/>
      </w:rPr>
    </w:lvl>
  </w:abstractNum>
  <w:abstractNum w:abstractNumId="10">
    <w:nsid w:val="11146DFD"/>
    <w:multiLevelType w:val="multilevel"/>
    <w:tmpl w:val="11146DFD"/>
    <w:lvl w:ilvl="0" w:tentative="0">
      <w:start w:val="4"/>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40F3EA0"/>
    <w:multiLevelType w:val="singleLevel"/>
    <w:tmpl w:val="240F3EA0"/>
    <w:lvl w:ilvl="0" w:tentative="0">
      <w:start w:val="1"/>
      <w:numFmt w:val="bullet"/>
      <w:lvlText w:val=""/>
      <w:lvlJc w:val="left"/>
      <w:pPr>
        <w:ind w:left="420" w:hanging="420"/>
      </w:pPr>
      <w:rPr>
        <w:rFonts w:hint="default" w:ascii="Wingdings" w:hAnsi="Wingdings"/>
      </w:rPr>
    </w:lvl>
  </w:abstractNum>
  <w:abstractNum w:abstractNumId="12">
    <w:nsid w:val="27DFC1F1"/>
    <w:multiLevelType w:val="singleLevel"/>
    <w:tmpl w:val="27DFC1F1"/>
    <w:lvl w:ilvl="0" w:tentative="0">
      <w:start w:val="1"/>
      <w:numFmt w:val="bullet"/>
      <w:lvlText w:val=""/>
      <w:lvlJc w:val="left"/>
      <w:pPr>
        <w:ind w:left="420" w:hanging="420"/>
      </w:pPr>
      <w:rPr>
        <w:rFonts w:hint="default" w:ascii="Wingdings" w:hAnsi="Wingdings"/>
      </w:rPr>
    </w:lvl>
  </w:abstractNum>
  <w:abstractNum w:abstractNumId="13">
    <w:nsid w:val="31806D42"/>
    <w:multiLevelType w:val="singleLevel"/>
    <w:tmpl w:val="31806D42"/>
    <w:lvl w:ilvl="0" w:tentative="0">
      <w:start w:val="1"/>
      <w:numFmt w:val="decimal"/>
      <w:lvlText w:val="%1."/>
      <w:lvlJc w:val="left"/>
      <w:pPr>
        <w:tabs>
          <w:tab w:val="left" w:pos="312"/>
        </w:tabs>
      </w:pPr>
    </w:lvl>
  </w:abstractNum>
  <w:abstractNum w:abstractNumId="14">
    <w:nsid w:val="3C499F42"/>
    <w:multiLevelType w:val="singleLevel"/>
    <w:tmpl w:val="3C499F42"/>
    <w:lvl w:ilvl="0" w:tentative="0">
      <w:start w:val="1"/>
      <w:numFmt w:val="decimal"/>
      <w:suff w:val="nothing"/>
      <w:lvlText w:val="%1）"/>
      <w:lvlJc w:val="left"/>
    </w:lvl>
  </w:abstractNum>
  <w:abstractNum w:abstractNumId="15">
    <w:nsid w:val="51E6A2BC"/>
    <w:multiLevelType w:val="singleLevel"/>
    <w:tmpl w:val="51E6A2BC"/>
    <w:lvl w:ilvl="0" w:tentative="0">
      <w:start w:val="1"/>
      <w:numFmt w:val="bullet"/>
      <w:lvlText w:val=""/>
      <w:lvlJc w:val="left"/>
      <w:pPr>
        <w:ind w:left="420" w:hanging="420"/>
      </w:pPr>
      <w:rPr>
        <w:rFonts w:hint="default" w:ascii="Wingdings" w:hAnsi="Wingdings"/>
      </w:rPr>
    </w:lvl>
  </w:abstractNum>
  <w:abstractNum w:abstractNumId="16">
    <w:nsid w:val="5A8D144B"/>
    <w:multiLevelType w:val="multilevel"/>
    <w:tmpl w:val="5A8D144B"/>
    <w:lvl w:ilvl="0" w:tentative="0">
      <w:start w:val="27"/>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62018F10"/>
    <w:multiLevelType w:val="singleLevel"/>
    <w:tmpl w:val="62018F10"/>
    <w:lvl w:ilvl="0" w:tentative="0">
      <w:start w:val="1"/>
      <w:numFmt w:val="bullet"/>
      <w:lvlText w:val=""/>
      <w:lvlJc w:val="left"/>
      <w:pPr>
        <w:ind w:left="420" w:hanging="420"/>
      </w:pPr>
      <w:rPr>
        <w:rFonts w:hint="default" w:ascii="Wingdings" w:hAnsi="Wingdings"/>
      </w:rPr>
    </w:lvl>
  </w:abstractNum>
  <w:abstractNum w:abstractNumId="18">
    <w:nsid w:val="6D011AA2"/>
    <w:multiLevelType w:val="multilevel"/>
    <w:tmpl w:val="6D011AA2"/>
    <w:lvl w:ilvl="0" w:tentative="0">
      <w:start w:val="25"/>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73AF5AE4"/>
    <w:multiLevelType w:val="multilevel"/>
    <w:tmpl w:val="73AF5AE4"/>
    <w:lvl w:ilvl="0" w:tentative="0">
      <w:start w:val="5"/>
      <w:numFmt w:val="decimal"/>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4187AC0"/>
    <w:multiLevelType w:val="multilevel"/>
    <w:tmpl w:val="74187AC0"/>
    <w:lvl w:ilvl="0" w:tentative="0">
      <w:start w:val="2"/>
      <w:numFmt w:val="decimal"/>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C58E8BA"/>
    <w:multiLevelType w:val="singleLevel"/>
    <w:tmpl w:val="7C58E8BA"/>
    <w:lvl w:ilvl="0" w:tentative="0">
      <w:start w:val="1"/>
      <w:numFmt w:val="decimal"/>
      <w:suff w:val="space"/>
      <w:lvlText w:val="%1."/>
      <w:lvlJc w:val="left"/>
    </w:lvl>
  </w:abstractNum>
  <w:num w:numId="1">
    <w:abstractNumId w:val="9"/>
  </w:num>
  <w:num w:numId="2">
    <w:abstractNumId w:val="3"/>
  </w:num>
  <w:num w:numId="3">
    <w:abstractNumId w:val="12"/>
  </w:num>
  <w:num w:numId="4">
    <w:abstractNumId w:val="21"/>
  </w:num>
  <w:num w:numId="5">
    <w:abstractNumId w:val="6"/>
  </w:num>
  <w:num w:numId="6">
    <w:abstractNumId w:val="14"/>
  </w:num>
  <w:num w:numId="7">
    <w:abstractNumId w:val="15"/>
  </w:num>
  <w:num w:numId="8">
    <w:abstractNumId w:val="7"/>
  </w:num>
  <w:num w:numId="9">
    <w:abstractNumId w:val="1"/>
  </w:num>
  <w:num w:numId="10">
    <w:abstractNumId w:val="2"/>
  </w:num>
  <w:num w:numId="11">
    <w:abstractNumId w:val="18"/>
  </w:num>
  <w:num w:numId="12">
    <w:abstractNumId w:val="20"/>
  </w:num>
  <w:num w:numId="13">
    <w:abstractNumId w:val="10"/>
  </w:num>
  <w:num w:numId="14">
    <w:abstractNumId w:val="16"/>
  </w:num>
  <w:num w:numId="15">
    <w:abstractNumId w:val="19"/>
  </w:num>
  <w:num w:numId="16">
    <w:abstractNumId w:val="13"/>
  </w:num>
  <w:num w:numId="17">
    <w:abstractNumId w:val="0"/>
  </w:num>
  <w:num w:numId="18">
    <w:abstractNumId w:val="8"/>
  </w:num>
  <w:num w:numId="19">
    <w:abstractNumId w:val="5"/>
  </w:num>
  <w:num w:numId="20">
    <w:abstractNumId w:val="17"/>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ZWIzNzVhOTNiMjFjMzBiNGIyMjAxMzc0ZTFkMmQifQ=="/>
    <w:docVar w:name="KSO_WPS_MARK_KEY" w:val="41642edf-66a0-4aee-bf7f-16844446029c"/>
  </w:docVars>
  <w:rsids>
    <w:rsidRoot w:val="000E15AB"/>
    <w:rsid w:val="000E15AB"/>
    <w:rsid w:val="002E04A6"/>
    <w:rsid w:val="004D71D0"/>
    <w:rsid w:val="007D75B4"/>
    <w:rsid w:val="009B4B18"/>
    <w:rsid w:val="00A907F3"/>
    <w:rsid w:val="00B22A64"/>
    <w:rsid w:val="00F90A84"/>
    <w:rsid w:val="00FB696A"/>
    <w:rsid w:val="011439B2"/>
    <w:rsid w:val="01934780"/>
    <w:rsid w:val="01A26771"/>
    <w:rsid w:val="034D4E02"/>
    <w:rsid w:val="037357C4"/>
    <w:rsid w:val="037C682C"/>
    <w:rsid w:val="0432329F"/>
    <w:rsid w:val="06510633"/>
    <w:rsid w:val="06C74996"/>
    <w:rsid w:val="0874748F"/>
    <w:rsid w:val="09FC1D65"/>
    <w:rsid w:val="0A2D47BB"/>
    <w:rsid w:val="0AB26C0D"/>
    <w:rsid w:val="0B8E24EF"/>
    <w:rsid w:val="0BFC2EE0"/>
    <w:rsid w:val="0C021372"/>
    <w:rsid w:val="102B5252"/>
    <w:rsid w:val="10C84507"/>
    <w:rsid w:val="113C0F96"/>
    <w:rsid w:val="11583436"/>
    <w:rsid w:val="1198193E"/>
    <w:rsid w:val="1253185C"/>
    <w:rsid w:val="127C6D88"/>
    <w:rsid w:val="17962D0C"/>
    <w:rsid w:val="17D631C0"/>
    <w:rsid w:val="188E3A9B"/>
    <w:rsid w:val="18AB1299"/>
    <w:rsid w:val="19495AE5"/>
    <w:rsid w:val="1C5446B4"/>
    <w:rsid w:val="1C6C7C4F"/>
    <w:rsid w:val="1C763243"/>
    <w:rsid w:val="1CBD524C"/>
    <w:rsid w:val="1CC572C9"/>
    <w:rsid w:val="1CF0262F"/>
    <w:rsid w:val="1EAB6897"/>
    <w:rsid w:val="1FCD05B5"/>
    <w:rsid w:val="21206CB6"/>
    <w:rsid w:val="21663DC4"/>
    <w:rsid w:val="2221328A"/>
    <w:rsid w:val="22661CDB"/>
    <w:rsid w:val="23F21382"/>
    <w:rsid w:val="24D171E9"/>
    <w:rsid w:val="26426127"/>
    <w:rsid w:val="264A1001"/>
    <w:rsid w:val="26722DC6"/>
    <w:rsid w:val="28B15698"/>
    <w:rsid w:val="2AE20B42"/>
    <w:rsid w:val="2BA01369"/>
    <w:rsid w:val="2D4B565F"/>
    <w:rsid w:val="2DA2383B"/>
    <w:rsid w:val="2DEC299E"/>
    <w:rsid w:val="307A4C7C"/>
    <w:rsid w:val="316733E9"/>
    <w:rsid w:val="325D5AAF"/>
    <w:rsid w:val="35CE6BA7"/>
    <w:rsid w:val="35ED4B55"/>
    <w:rsid w:val="362E5F40"/>
    <w:rsid w:val="36D560D8"/>
    <w:rsid w:val="37EC5FE6"/>
    <w:rsid w:val="3A2721FF"/>
    <w:rsid w:val="3B670D02"/>
    <w:rsid w:val="3B68792B"/>
    <w:rsid w:val="3BAC5BD0"/>
    <w:rsid w:val="3CA1704A"/>
    <w:rsid w:val="3D4520CB"/>
    <w:rsid w:val="3F351A70"/>
    <w:rsid w:val="3F777E00"/>
    <w:rsid w:val="3F7942AE"/>
    <w:rsid w:val="40DC68A2"/>
    <w:rsid w:val="411D5986"/>
    <w:rsid w:val="42343856"/>
    <w:rsid w:val="43D9531B"/>
    <w:rsid w:val="43F860E9"/>
    <w:rsid w:val="4607430F"/>
    <w:rsid w:val="490A257E"/>
    <w:rsid w:val="49EB3A90"/>
    <w:rsid w:val="4B49722A"/>
    <w:rsid w:val="4B5100BF"/>
    <w:rsid w:val="4DA2457D"/>
    <w:rsid w:val="4E3533A6"/>
    <w:rsid w:val="4F327157"/>
    <w:rsid w:val="500B71A4"/>
    <w:rsid w:val="504E6180"/>
    <w:rsid w:val="54E104D3"/>
    <w:rsid w:val="54FA4CFC"/>
    <w:rsid w:val="550139AD"/>
    <w:rsid w:val="553E4092"/>
    <w:rsid w:val="566C201F"/>
    <w:rsid w:val="57894B59"/>
    <w:rsid w:val="58636A07"/>
    <w:rsid w:val="58982A9E"/>
    <w:rsid w:val="593E33A9"/>
    <w:rsid w:val="5A00764E"/>
    <w:rsid w:val="5A2D4DF1"/>
    <w:rsid w:val="5B464B1B"/>
    <w:rsid w:val="5B7976B8"/>
    <w:rsid w:val="5CC130C4"/>
    <w:rsid w:val="5E550816"/>
    <w:rsid w:val="5F0C788C"/>
    <w:rsid w:val="60292226"/>
    <w:rsid w:val="61702B02"/>
    <w:rsid w:val="624B7414"/>
    <w:rsid w:val="628C25C6"/>
    <w:rsid w:val="630E310E"/>
    <w:rsid w:val="63DE2A5D"/>
    <w:rsid w:val="64654C7D"/>
    <w:rsid w:val="64C16B3D"/>
    <w:rsid w:val="64C9471C"/>
    <w:rsid w:val="651236CD"/>
    <w:rsid w:val="659B022A"/>
    <w:rsid w:val="664D5B7D"/>
    <w:rsid w:val="667F2949"/>
    <w:rsid w:val="66EF42A9"/>
    <w:rsid w:val="67452A36"/>
    <w:rsid w:val="680638ED"/>
    <w:rsid w:val="690A57D7"/>
    <w:rsid w:val="6A7673BD"/>
    <w:rsid w:val="6A96495F"/>
    <w:rsid w:val="6CD12015"/>
    <w:rsid w:val="6CD56718"/>
    <w:rsid w:val="6DF86C28"/>
    <w:rsid w:val="6FB14B49"/>
    <w:rsid w:val="6FD809F9"/>
    <w:rsid w:val="70D3308D"/>
    <w:rsid w:val="71306A31"/>
    <w:rsid w:val="71AC3EEB"/>
    <w:rsid w:val="71DF1ED1"/>
    <w:rsid w:val="72FC1A86"/>
    <w:rsid w:val="730C3AA0"/>
    <w:rsid w:val="75311C87"/>
    <w:rsid w:val="76041D8A"/>
    <w:rsid w:val="76937428"/>
    <w:rsid w:val="76A646F3"/>
    <w:rsid w:val="76A87906"/>
    <w:rsid w:val="76DD1CA6"/>
    <w:rsid w:val="771F0DF8"/>
    <w:rsid w:val="775F730A"/>
    <w:rsid w:val="77615B85"/>
    <w:rsid w:val="778D36CB"/>
    <w:rsid w:val="77AC2973"/>
    <w:rsid w:val="782F143B"/>
    <w:rsid w:val="784B060A"/>
    <w:rsid w:val="79B7167F"/>
    <w:rsid w:val="79FC1788"/>
    <w:rsid w:val="7AE6239C"/>
    <w:rsid w:val="7B6D0493"/>
    <w:rsid w:val="7B9659AC"/>
    <w:rsid w:val="7CDB423D"/>
    <w:rsid w:val="7D060228"/>
    <w:rsid w:val="7D2A2168"/>
    <w:rsid w:val="7D4A236D"/>
    <w:rsid w:val="7DAD1853"/>
    <w:rsid w:val="7E910230"/>
    <w:rsid w:val="7EFC7B34"/>
    <w:rsid w:val="7F316FD0"/>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0"/>
    </w:r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paragraph" w:styleId="7">
    <w:name w:val="Title"/>
    <w:basedOn w:val="1"/>
    <w:autoRedefine/>
    <w:qFormat/>
    <w:uiPriority w:val="0"/>
    <w:pPr>
      <w:spacing w:line="420" w:lineRule="exact"/>
      <w:jc w:val="center"/>
    </w:pPr>
    <w:rPr>
      <w:rFonts w:ascii="Times New Roman" w:hAnsi="Times New Roman"/>
      <w:b/>
      <w:bCs/>
      <w:sz w:val="3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444444"/>
      <w:u w:val="none"/>
    </w:rPr>
  </w:style>
  <w:style w:type="paragraph" w:styleId="13">
    <w:name w:val="List Paragraph"/>
    <w:basedOn w:val="1"/>
    <w:autoRedefine/>
    <w:qFormat/>
    <w:uiPriority w:val="34"/>
    <w:pPr>
      <w:ind w:firstLine="420" w:firstLineChars="200"/>
    </w:pPr>
  </w:style>
  <w:style w:type="character" w:customStyle="1" w:styleId="14">
    <w:name w:val="页眉 字符"/>
    <w:basedOn w:val="10"/>
    <w:link w:val="5"/>
    <w:qFormat/>
    <w:uiPriority w:val="0"/>
    <w:rPr>
      <w:rFonts w:ascii="Calibri" w:hAnsi="Calibri"/>
      <w:kern w:val="2"/>
      <w:sz w:val="18"/>
      <w:szCs w:val="18"/>
    </w:rPr>
  </w:style>
  <w:style w:type="character" w:customStyle="1" w:styleId="15">
    <w:name w:val="页脚 字符"/>
    <w:basedOn w:val="10"/>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1664</Words>
  <Characters>9485</Characters>
  <Lines>79</Lines>
  <Paragraphs>22</Paragraphs>
  <TotalTime>1</TotalTime>
  <ScaleCrop>false</ScaleCrop>
  <LinksUpToDate>false</LinksUpToDate>
  <CharactersWithSpaces>11127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2023-11-27T07:14:00Z</dcterms:created>
  <dc:creator>hao</dc:creator>
  <cp:lastModifiedBy>Yang</cp:lastModifiedBy>
  <dcterms:modified xsi:type="dcterms:W3CDTF">2024-05-07T07:52:29Z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002B454778CC4866AA10C6342A2B31B9_13</vt:lpwstr>
  </property>
</Properties>
</file>